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1050" w:x="16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ALIC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ALIC+ºÚÌå" w:hAnsi="PCALIC+ºÚÌå" w:eastAsiaTheme="minorHAnsi" w:cs="PCALIC+ºÚÌå"/>
          <w:color w:val="000000"/>
          <w:spacing w:val="0"/>
          <w:sz w:val="30"/>
        </w:rPr>
        <w:t>附件</w:t>
      </w:r>
    </w:p>
    <w:p>
      <w:pPr>
        <w:pStyle w:val="Normal0"/>
        <w:framePr w:w="9112" w:x="2367" w:y="388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5"/>
          <w:sz w:val="30"/>
        </w:rPr>
        <w:t>为贯彻落实《中共中央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9"/>
          <w:sz w:val="30"/>
        </w:rPr>
        <w:t xml:space="preserve"> 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5"/>
          <w:sz w:val="30"/>
        </w:rPr>
        <w:t>国务院关于印发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4"/>
          <w:sz w:val="30"/>
        </w:rPr>
        <w:t>&lt;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4"/>
          <w:sz w:val="30"/>
        </w:rPr>
        <w:t>生态文明体制改革</w:t>
      </w:r>
    </w:p>
    <w:p>
      <w:pPr>
        <w:pStyle w:val="Normal0"/>
        <w:framePr w:w="10350" w:x="1616" w:y="4471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1"/>
          <w:sz w:val="30"/>
        </w:rPr>
        <w:t>总体方案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-1"/>
          <w:sz w:val="30"/>
        </w:rPr>
        <w:t>&gt;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-6"/>
          <w:sz w:val="30"/>
        </w:rPr>
        <w:t>的通知》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-1"/>
          <w:sz w:val="30"/>
        </w:rPr>
        <w:t>(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-8"/>
          <w:sz w:val="30"/>
        </w:rPr>
        <w:t>中发〔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0"/>
          <w:sz w:val="30"/>
        </w:rPr>
        <w:t>2015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-24"/>
          <w:sz w:val="30"/>
        </w:rPr>
        <w:t>〕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37"/>
          <w:sz w:val="30"/>
        </w:rPr>
        <w:t>25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0"/>
          <w:sz w:val="30"/>
        </w:rPr>
        <w:t>号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1"/>
          <w:sz w:val="30"/>
        </w:rPr>
        <w:t>)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-15"/>
          <w:sz w:val="30"/>
        </w:rPr>
        <w:t>、《国务院关于印发深化标</w:t>
      </w:r>
    </w:p>
    <w:p>
      <w:pPr>
        <w:pStyle w:val="Normal0"/>
        <w:framePr w:w="10350" w:x="1616" w:y="4471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-9"/>
          <w:sz w:val="30"/>
        </w:rPr>
        <w:t>准化工作改革方案的通知》（国发〔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0"/>
          <w:sz w:val="30"/>
        </w:rPr>
        <w:t>2015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0"/>
          <w:sz w:val="30"/>
        </w:rPr>
        <w:t>〕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-1"/>
          <w:sz w:val="30"/>
        </w:rPr>
        <w:t>13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-25"/>
          <w:sz w:val="30"/>
        </w:rPr>
        <w:t xml:space="preserve"> 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-30"/>
          <w:sz w:val="30"/>
        </w:rPr>
        <w:t>号）、《国务院办公厅</w:t>
      </w:r>
    </w:p>
    <w:p>
      <w:pPr>
        <w:pStyle w:val="Normal0"/>
        <w:framePr w:w="10350" w:x="1616" w:y="447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-7"/>
          <w:sz w:val="30"/>
        </w:rPr>
        <w:t>关于加强节能标准化工作的意见》（国办发〔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-1"/>
          <w:sz w:val="30"/>
        </w:rPr>
        <w:t>2015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2"/>
          <w:sz w:val="30"/>
        </w:rPr>
        <w:t>〕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-1"/>
          <w:sz w:val="30"/>
        </w:rPr>
        <w:t>16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-25"/>
          <w:sz w:val="30"/>
        </w:rPr>
        <w:t xml:space="preserve"> 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0"/>
          <w:sz w:val="30"/>
        </w:rPr>
        <w:t>号）和《国</w:t>
      </w:r>
    </w:p>
    <w:p>
      <w:pPr>
        <w:pStyle w:val="Normal0"/>
        <w:framePr w:w="10350" w:x="1616" w:y="447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DHRR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12"/>
          <w:sz w:val="30"/>
        </w:rPr>
        <w:t>务院办公厅关于印发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11"/>
          <w:sz w:val="30"/>
        </w:rPr>
        <w:t>&lt;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12"/>
          <w:sz w:val="30"/>
        </w:rPr>
        <w:t>国家标准化体系建设发展规划（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0"/>
          <w:sz w:val="30"/>
        </w:rPr>
        <w:t>2016-2020</w:t>
      </w:r>
    </w:p>
    <w:p>
      <w:pPr>
        <w:pStyle w:val="Normal0"/>
        <w:framePr w:w="10350" w:x="1616" w:y="447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-7"/>
          <w:sz w:val="30"/>
        </w:rPr>
        <w:t>年）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-1"/>
          <w:sz w:val="30"/>
        </w:rPr>
        <w:t>&gt;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-20"/>
          <w:sz w:val="30"/>
        </w:rPr>
        <w:t>的通知》（国办发〔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-1"/>
          <w:sz w:val="30"/>
        </w:rPr>
        <w:t>2015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-14"/>
          <w:sz w:val="30"/>
        </w:rPr>
        <w:t>〕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36"/>
          <w:sz w:val="30"/>
        </w:rPr>
        <w:t>89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-2"/>
          <w:sz w:val="30"/>
        </w:rPr>
        <w:t>号）相关要求，加快完善节能标</w:t>
      </w:r>
    </w:p>
    <w:p>
      <w:pPr>
        <w:pStyle w:val="Normal0"/>
        <w:framePr w:w="10350" w:x="1616" w:y="447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0"/>
          <w:sz w:val="30"/>
        </w:rPr>
        <w:t>准体系，提高节能标准实施效果，制定本方案。</w:t>
      </w:r>
    </w:p>
    <w:p>
      <w:pPr>
        <w:pStyle w:val="Normal0"/>
        <w:framePr w:w="2550" w:x="2216" w:y="800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PCALIC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PCALIC+ºÚÌå" w:hAnsi="PCALIC+ºÚÌå" w:eastAsiaTheme="minorHAnsi" w:cs="PCALIC+ºÚÌå"/>
          <w:color w:val="000000"/>
          <w:spacing w:val="0"/>
          <w:sz w:val="30"/>
        </w:rPr>
        <w:t>一、现状和问题</w:t>
      </w:r>
    </w:p>
    <w:p>
      <w:pPr>
        <w:pStyle w:val="Normal0"/>
        <w:framePr w:w="10153" w:x="1616" w:y="858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-1"/>
          <w:sz w:val="30"/>
        </w:rPr>
        <w:t>节能标准是国家节能制度的基础，是提升经济质量效益、推动</w:t>
      </w:r>
    </w:p>
    <w:p>
      <w:pPr>
        <w:pStyle w:val="Normal0"/>
        <w:framePr w:w="10153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0"/>
          <w:sz w:val="30"/>
        </w:rPr>
        <w:t>绿色低碳循环发展、建设生态文明的重要手段，是化解产能过剩、</w:t>
      </w:r>
    </w:p>
    <w:p>
      <w:pPr>
        <w:pStyle w:val="Normal0"/>
        <w:framePr w:w="10153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-1"/>
          <w:sz w:val="30"/>
        </w:rPr>
        <w:t>加强节能减排工作的有效支撑。“十二五”以来，国家标准委、国</w:t>
      </w:r>
    </w:p>
    <w:p>
      <w:pPr>
        <w:pStyle w:val="Normal0"/>
        <w:framePr w:w="10153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-1"/>
          <w:sz w:val="30"/>
        </w:rPr>
        <w:t>家发展改革委联合启动了两期“百项能效标准推进工程”，共批准</w:t>
      </w:r>
    </w:p>
    <w:p>
      <w:pPr>
        <w:pStyle w:val="Normal0"/>
        <w:framePr w:w="10153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0"/>
          <w:sz w:val="30"/>
        </w:rPr>
        <w:t>发布了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24"/>
          <w:sz w:val="30"/>
        </w:rPr>
        <w:t>206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-1"/>
          <w:sz w:val="30"/>
        </w:rPr>
        <w:t>项能效、能耗限额和节能基础国家标准。截至目前，我</w:t>
      </w:r>
    </w:p>
    <w:p>
      <w:pPr>
        <w:pStyle w:val="Normal0"/>
        <w:framePr w:w="10153" w:x="1616" w:y="858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0"/>
          <w:sz w:val="30"/>
        </w:rPr>
        <w:t>国已发布实施能效强制性标准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37"/>
          <w:sz w:val="30"/>
        </w:rPr>
        <w:t>73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-3"/>
          <w:sz w:val="30"/>
        </w:rPr>
        <w:t>项、能耗限额强制性标准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24"/>
          <w:sz w:val="30"/>
        </w:rPr>
        <w:t>104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1"/>
          <w:sz w:val="30"/>
        </w:rPr>
        <w:t>项、</w:t>
      </w:r>
    </w:p>
    <w:p>
      <w:pPr>
        <w:pStyle w:val="Normal0"/>
        <w:framePr w:w="10153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0"/>
          <w:sz w:val="30"/>
        </w:rPr>
        <w:t>节能推荐性国家标准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WDHRRK+·ÂËÎ" w:eastAsiaTheme="minorHAnsi" w:hAnsiTheme="minorHAnsi" w:cstheme="minorBidi"/>
          <w:color w:val="000000"/>
          <w:spacing w:val="24"/>
          <w:sz w:val="30"/>
        </w:rPr>
        <w:t>150</w:t>
      </w:r>
      <w:r>
        <w:rPr>
          <w:rStyle w:val="DefaultParagraphFont"/>
          <w:rFonts w:ascii="QVKPEI+·ÂËÎ" w:hAnsi="QVKPEI+·ÂËÎ" w:eastAsiaTheme="minorHAnsi" w:cs="QVKPEI+·ÂËÎ"/>
          <w:color w:val="000000"/>
          <w:spacing w:val="0"/>
          <w:sz w:val="30"/>
        </w:rPr>
        <w:t>余项，对化解产能过剩、优化产业结构、</w:t>
      </w:r>
    </w:p>
    <w:p>
      <w:pPr>
        <w:pStyle w:val="Normal0"/>
        <w:framePr w:w="10153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0"/>
          <w:sz w:val="30"/>
        </w:rPr>
        <w:t>实现节能目标发挥了重要作用。</w:t>
      </w:r>
    </w:p>
    <w:p>
      <w:pPr>
        <w:pStyle w:val="Normal0"/>
        <w:framePr w:w="10005" w:x="1616" w:y="13293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-1"/>
          <w:sz w:val="30"/>
        </w:rPr>
        <w:t>但是，与当前化解过剩产能、促进产业结构调整优化、推进生</w:t>
      </w:r>
    </w:p>
    <w:p>
      <w:pPr>
        <w:pStyle w:val="Normal0"/>
        <w:framePr w:w="10005" w:x="1616" w:y="1329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-1"/>
          <w:sz w:val="30"/>
        </w:rPr>
        <w:t>态文明建设的迫切需求相比，节能标准体系还不健全，实施基础仍</w:t>
      </w:r>
    </w:p>
    <w:p>
      <w:pPr>
        <w:pStyle w:val="Normal0"/>
        <w:framePr w:w="10005" w:x="1616" w:y="1329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VKPEI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VKPEI+·ÂËÎ" w:hAnsi="QVKPEI+·ÂËÎ" w:eastAsiaTheme="minorHAnsi" w:cs="QVKPEI+·ÂËÎ"/>
          <w:color w:val="000000"/>
          <w:spacing w:val="-1"/>
          <w:sz w:val="30"/>
        </w:rPr>
        <w:t>显薄弱，管理机制还不完善，一些重要的节能标准缺失，部分标准</w:t>
      </w:r>
    </w:p>
    <w:p>
      <w:pPr>
        <w:pStyle w:val="Normal0"/>
        <w:framePr w:w="10005" w:x="1616" w:y="13293"/>
        <w:widowControl w:val="0"/>
        <w:autoSpaceDE w:val="0"/>
        <w:autoSpaceDN w:val="0"/>
        <w:spacing w:before="0" w:after="0" w:line="569" w:lineRule="exact"/>
        <w:ind w:left="4277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1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20.1pt;height:23.9pt;margin-top:130.15pt;margin-left:197.55pt;mso-position-horizontal-relative:page;mso-position-vertical-relative:page;position:absolute;z-index:-251658240">
            <v:imagedata r:id="rId4" o:title=""/>
          </v:shape>
        </w:pic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10007" w:x="16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技术水平落后、更新不及时，标准体系需要进一步完善，特别是用</w:t>
      </w:r>
    </w:p>
    <w:p>
      <w:pPr>
        <w:pStyle w:val="Normal1"/>
        <w:framePr w:w="10007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0"/>
          <w:sz w:val="30"/>
        </w:rPr>
        <w:t>能产品能效、高耗能行业能耗限额、建筑物能效等标准亟需更新。</w:t>
      </w:r>
    </w:p>
    <w:p>
      <w:pPr>
        <w:pStyle w:val="Normal1"/>
        <w:framePr w:w="10007" w:x="1616" w:y="2119"/>
        <w:widowControl w:val="0"/>
        <w:autoSpaceDE w:val="0"/>
        <w:autoSpaceDN w:val="0"/>
        <w:spacing w:before="0" w:after="0" w:line="588" w:lineRule="exact"/>
        <w:ind w:left="600" w:right="0" w:firstLine="0"/>
        <w:jc w:val="left"/>
        <w:rPr>
          <w:rStyle w:val="DefaultParagraphFont"/>
          <w:rFonts w:ascii="JSVDUB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SVDUB+ºÚÌå" w:hAnsi="JSVDUB+ºÚÌå" w:eastAsiaTheme="minorHAnsi" w:cs="JSVDUB+ºÚÌå"/>
          <w:color w:val="000000"/>
          <w:spacing w:val="0"/>
          <w:sz w:val="30"/>
        </w:rPr>
        <w:t>二、总体要求</w:t>
      </w:r>
    </w:p>
    <w:p>
      <w:pPr>
        <w:pStyle w:val="Normal1"/>
        <w:framePr w:w="2851" w:x="2216" w:y="388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TQPGJ+¿¬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QPGJ+¿¬Ìå" w:hAnsi="NTQPGJ+¿¬Ìå" w:eastAsiaTheme="minorHAnsi" w:cs="NTQPGJ+¿¬Ìå"/>
          <w:color w:val="000000"/>
          <w:spacing w:val="0"/>
          <w:sz w:val="30"/>
        </w:rPr>
        <w:t>（一）指导思想。</w:t>
      </w:r>
    </w:p>
    <w:p>
      <w:pPr>
        <w:pStyle w:val="Normal1"/>
        <w:framePr w:w="10350" w:x="1616" w:y="4471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以党的十八大和十八届三中、四中、五中、六中全会精神为指</w:t>
      </w:r>
    </w:p>
    <w:p>
      <w:pPr>
        <w:pStyle w:val="Normal1"/>
        <w:framePr w:w="10350" w:x="1616" w:y="4471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导，牢固树立创新、协调、绿色、开放、共享的发展理念，健全节</w:t>
      </w:r>
    </w:p>
    <w:p>
      <w:pPr>
        <w:pStyle w:val="Normal1"/>
        <w:framePr w:w="10350" w:x="1616" w:y="447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6"/>
          <w:sz w:val="30"/>
        </w:rPr>
        <w:t>能标准体系，创新节能标准化管理机制，强化节能标准实施与监督，</w:t>
      </w:r>
    </w:p>
    <w:p>
      <w:pPr>
        <w:pStyle w:val="Normal1"/>
        <w:framePr w:w="10350" w:x="1616" w:y="447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有效支撑国家节能减排和产业结构升级，夯实生态文明建设标准基</w:t>
      </w:r>
    </w:p>
    <w:p>
      <w:pPr>
        <w:pStyle w:val="Normal1"/>
        <w:framePr w:w="10350" w:x="1616" w:y="447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0"/>
          <w:sz w:val="30"/>
        </w:rPr>
        <w:t>础。</w:t>
      </w:r>
    </w:p>
    <w:p>
      <w:pPr>
        <w:pStyle w:val="Normal1"/>
        <w:framePr w:w="2851" w:x="2216" w:y="741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TQPGJ+¿¬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TQPGJ+¿¬Ìå" w:hAnsi="NTQPGJ+¿¬Ìå" w:eastAsiaTheme="minorHAnsi" w:cs="NTQPGJ+¿¬Ìå"/>
          <w:color w:val="000000"/>
          <w:spacing w:val="0"/>
          <w:sz w:val="30"/>
        </w:rPr>
        <w:t>（二）基本原则。</w:t>
      </w:r>
    </w:p>
    <w:p>
      <w:pPr>
        <w:pStyle w:val="Normal1"/>
        <w:framePr w:w="10005" w:x="1616" w:y="8000"/>
        <w:widowControl w:val="0"/>
        <w:autoSpaceDE w:val="0"/>
        <w:autoSpaceDN w:val="0"/>
        <w:spacing w:before="0" w:after="0" w:line="300" w:lineRule="exact"/>
        <w:ind w:left="602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333333"/>
          <w:spacing w:val="-2"/>
          <w:sz w:val="30"/>
        </w:rPr>
        <w:t>科学系统、功能明确。</w:t>
      </w:r>
      <w:r>
        <w:rPr>
          <w:rStyle w:val="DefaultParagraphFont"/>
          <w:rFonts w:ascii="KQRCKD+·ÂËÎ" w:hAnsi="KQRCKD+·ÂËÎ" w:eastAsiaTheme="minorHAnsi" w:cs="KQRCKD+·ÂËÎ"/>
          <w:color w:val="000000"/>
          <w:spacing w:val="0"/>
          <w:sz w:val="30"/>
        </w:rPr>
        <w:t>节能标准体系应兼顾节能重点工作要求</w:t>
      </w:r>
    </w:p>
    <w:p>
      <w:pPr>
        <w:pStyle w:val="Normal1"/>
        <w:framePr w:w="10005" w:x="1616" w:y="800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以及相关社会经济活动的需求，做到层次分明、结构合理、功能明</w:t>
      </w:r>
    </w:p>
    <w:p>
      <w:pPr>
        <w:pStyle w:val="Normal1"/>
        <w:framePr w:w="10005" w:x="1616" w:y="800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确，不同属性、功能的标准之间体现衔接配套的关系，科学组织并</w:t>
      </w:r>
    </w:p>
    <w:p>
      <w:pPr>
        <w:pStyle w:val="Normal1"/>
        <w:framePr w:w="10005" w:x="1616" w:y="800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0"/>
          <w:sz w:val="30"/>
        </w:rPr>
        <w:t>合理划分。</w:t>
      </w:r>
    </w:p>
    <w:p>
      <w:pPr>
        <w:pStyle w:val="Normal1"/>
        <w:framePr w:w="10005" w:x="1616" w:y="10352"/>
        <w:widowControl w:val="0"/>
        <w:autoSpaceDE w:val="0"/>
        <w:autoSpaceDN w:val="0"/>
        <w:spacing w:before="0" w:after="0" w:line="300" w:lineRule="exact"/>
        <w:ind w:left="602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333333"/>
          <w:spacing w:val="-1"/>
          <w:sz w:val="30"/>
        </w:rPr>
        <w:t>统筹协调、运行高效。</w:t>
      </w: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整合精简优化现有国家、行业及地方节</w:t>
      </w:r>
    </w:p>
    <w:p>
      <w:pPr>
        <w:pStyle w:val="Normal1"/>
        <w:framePr w:w="10005" w:x="1616" w:y="1035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能标准体系和已发布的国家、行业及地方节能标准，完善节能标准</w:t>
      </w:r>
    </w:p>
    <w:p>
      <w:pPr>
        <w:pStyle w:val="Normal1"/>
        <w:framePr w:w="10005" w:x="1616" w:y="10352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体系。坚持各类各层级节能标准协调发展，提高节能标准制定、实</w:t>
      </w:r>
    </w:p>
    <w:p>
      <w:pPr>
        <w:pStyle w:val="Normal1"/>
        <w:framePr w:w="10005" w:x="1616" w:y="1035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0"/>
          <w:sz w:val="30"/>
        </w:rPr>
        <w:t>施与监督的高效性和协调性。</w:t>
      </w:r>
    </w:p>
    <w:p>
      <w:pPr>
        <w:pStyle w:val="Normal1"/>
        <w:framePr w:w="10005" w:x="1616" w:y="12705"/>
        <w:widowControl w:val="0"/>
        <w:autoSpaceDE w:val="0"/>
        <w:autoSpaceDN w:val="0"/>
        <w:spacing w:before="0" w:after="0" w:line="300" w:lineRule="exact"/>
        <w:ind w:left="602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动态开放、国际接轨。加大推进节能标准化服务改革力度，加</w:t>
      </w:r>
    </w:p>
    <w:p>
      <w:pPr>
        <w:pStyle w:val="Normal1"/>
        <w:framePr w:w="10005" w:x="1616" w:y="1270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快节能标准科技创新，及时更新和完善节能标准体系框架，积极推</w:t>
      </w:r>
    </w:p>
    <w:p>
      <w:pPr>
        <w:pStyle w:val="Normal1"/>
        <w:framePr w:w="10005" w:x="1616" w:y="1270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-1"/>
          <w:sz w:val="30"/>
        </w:rPr>
        <w:t>进节能标准国际化进程，增强我国节能技术、产品和服务的国际竞</w:t>
      </w:r>
    </w:p>
    <w:p>
      <w:pPr>
        <w:pStyle w:val="Normal1"/>
        <w:framePr w:w="10005" w:x="1616" w:y="1270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QRCKD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KQRCKD+·ÂËÎ" w:hAnsi="KQRCKD+·ÂËÎ" w:eastAsiaTheme="minorHAnsi" w:cs="KQRCKD+·ÂËÎ"/>
          <w:color w:val="000000"/>
          <w:spacing w:val="0"/>
          <w:sz w:val="30"/>
        </w:rPr>
        <w:t>争力。</w:t>
      </w:r>
    </w:p>
    <w:p>
      <w:pPr>
        <w:pStyle w:val="Normal1"/>
        <w:framePr w:w="480" w:x="5893" w:y="15082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2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2851" w:x="22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BWDHQH+¿¬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DHQH+¿¬Ìå" w:hAnsi="BWDHQH+¿¬Ìå" w:eastAsiaTheme="minorHAnsi" w:cs="BWDHQH+¿¬Ìå"/>
          <w:color w:val="000000"/>
          <w:spacing w:val="0"/>
          <w:sz w:val="30"/>
        </w:rPr>
        <w:t>（三）建设目标。</w:t>
      </w:r>
    </w:p>
    <w:p>
      <w:pPr>
        <w:pStyle w:val="Normal2"/>
        <w:framePr w:w="10178" w:x="1616" w:y="2707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0"/>
          <w:sz w:val="30"/>
        </w:rPr>
        <w:t>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4"/>
          <w:sz w:val="30"/>
        </w:rPr>
        <w:t xml:space="preserve"> </w:t>
      </w:r>
      <w:r>
        <w:rPr>
          <w:rStyle w:val="DefaultParagraphFont"/>
          <w:rFonts w:ascii="TBOJMB+·ÂËÎ" w:eastAsiaTheme="minorHAnsi" w:hAnsiTheme="minorHAnsi" w:cstheme="minorBidi"/>
          <w:color w:val="000000"/>
          <w:spacing w:val="0"/>
          <w:sz w:val="30"/>
        </w:rPr>
        <w:t>2020</w:t>
      </w:r>
      <w:r>
        <w:rPr>
          <w:rStyle w:val="DefaultParagraphFont"/>
          <w:rFonts w:ascii="TBOJMB+·ÂËÎ" w:eastAsiaTheme="minorHAnsi" w:hAnsiTheme="minorHAnsi" w:cstheme="minorBidi"/>
          <w:color w:val="000000"/>
          <w:spacing w:val="-14"/>
          <w:sz w:val="30"/>
        </w:rPr>
        <w:t xml:space="preserve"> </w:t>
      </w:r>
      <w:r>
        <w:rPr>
          <w:rStyle w:val="DefaultParagraphFont"/>
          <w:rFonts w:ascii="JWOJWF+·ÂËÎ" w:hAnsi="JWOJWF+·ÂËÎ" w:eastAsiaTheme="minorHAnsi" w:cs="JWOJWF+·ÂËÎ"/>
          <w:color w:val="000000"/>
          <w:spacing w:val="0"/>
          <w:sz w:val="30"/>
        </w:rPr>
        <w:t>年，节能国家标准、行业标准、地方标准、团体标准</w:t>
      </w:r>
    </w:p>
    <w:p>
      <w:pPr>
        <w:pStyle w:val="Normal2"/>
        <w:framePr w:w="10178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体系结构更加优化，政府主导制定的节能标准与市场自主制定的节</w:t>
      </w:r>
    </w:p>
    <w:p>
      <w:pPr>
        <w:pStyle w:val="Normal2"/>
        <w:framePr w:w="10178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能标准协同发展、协调配套，建成指标先进、符合国情的节能标准</w:t>
      </w:r>
    </w:p>
    <w:p>
      <w:pPr>
        <w:pStyle w:val="Normal2"/>
        <w:framePr w:w="10178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体系，形成有效的节能标准研究、制修订、宣贯、监督检查、评估</w:t>
      </w:r>
    </w:p>
    <w:p>
      <w:pPr>
        <w:pStyle w:val="Normal2"/>
        <w:framePr w:w="10178" w:x="1616" w:y="2707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等工作机制。节能强制性标准的规范作用进一步强化，节能推荐性</w:t>
      </w:r>
    </w:p>
    <w:p>
      <w:pPr>
        <w:pStyle w:val="Normal2"/>
        <w:framePr w:w="10178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标准的引领作用进一步发挥，节能标准有效实施与监督的工作体系</w:t>
      </w:r>
    </w:p>
    <w:p>
      <w:pPr>
        <w:pStyle w:val="Normal2"/>
        <w:framePr w:w="10178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进一步完善，节能标准化能力进一步增强，节能标准国际化水平明</w:t>
      </w:r>
    </w:p>
    <w:p>
      <w:pPr>
        <w:pStyle w:val="Normal2"/>
        <w:framePr w:w="10178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BOJMB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6"/>
          <w:sz w:val="30"/>
        </w:rPr>
        <w:t>显提升。主要高耗能行业和终端用能产品实现节能标准全覆盖，</w:t>
      </w:r>
      <w:r>
        <w:rPr>
          <w:rStyle w:val="DefaultParagraphFont"/>
          <w:rFonts w:ascii="TBOJMB+·ÂËÎ" w:eastAsiaTheme="minorHAnsi" w:hAnsiTheme="minorHAnsi" w:cstheme="minorBidi"/>
          <w:color w:val="000000"/>
          <w:spacing w:val="0"/>
          <w:sz w:val="30"/>
        </w:rPr>
        <w:t>80%</w:t>
      </w:r>
    </w:p>
    <w:p>
      <w:pPr>
        <w:pStyle w:val="Normal2"/>
        <w:framePr w:w="10178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以上的能效指标达到国际先进水平，重点领域、行业节能标准指标</w:t>
      </w:r>
    </w:p>
    <w:p>
      <w:pPr>
        <w:pStyle w:val="Normal2"/>
        <w:framePr w:w="10178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更加先进，新发布的节能强制性标准开展质量及效益评估的比例达</w:t>
      </w:r>
    </w:p>
    <w:p>
      <w:pPr>
        <w:pStyle w:val="Normal2"/>
        <w:framePr w:w="10178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0"/>
          <w:sz w:val="30"/>
        </w:rPr>
        <w:t>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TBOJMB+·ÂËÎ" w:eastAsiaTheme="minorHAnsi" w:hAnsiTheme="minorHAnsi" w:cstheme="minorBidi"/>
          <w:color w:val="000000"/>
          <w:spacing w:val="0"/>
          <w:sz w:val="30"/>
        </w:rPr>
        <w:t>50%</w:t>
      </w:r>
      <w:r>
        <w:rPr>
          <w:rStyle w:val="DefaultParagraphFont"/>
          <w:rFonts w:ascii="JWOJWF+·ÂËÎ" w:hAnsi="JWOJWF+·ÂËÎ" w:eastAsiaTheme="minorHAnsi" w:cs="JWOJWF+·ÂËÎ"/>
          <w:color w:val="000000"/>
          <w:spacing w:val="0"/>
          <w:sz w:val="30"/>
        </w:rPr>
        <w:t>以上。</w:t>
      </w:r>
    </w:p>
    <w:p>
      <w:pPr>
        <w:pStyle w:val="Normal2"/>
        <w:framePr w:w="3450" w:x="2216" w:y="917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MRKVG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MRKVG+ºÚÌå" w:hAnsi="JMRKVG+ºÚÌå" w:eastAsiaTheme="minorHAnsi" w:cs="JMRKVG+ºÚÌå"/>
          <w:color w:val="000000"/>
          <w:spacing w:val="0"/>
          <w:sz w:val="30"/>
        </w:rPr>
        <w:t>三、优化标准体系建设</w:t>
      </w:r>
    </w:p>
    <w:p>
      <w:pPr>
        <w:pStyle w:val="Normal2"/>
        <w:framePr w:w="10005" w:x="1616" w:y="976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WDHQH+¿¬Ìå" w:hAnsi="BWDHQH+¿¬Ìå" w:eastAsiaTheme="minorHAnsi" w:cs="BWDHQH+¿¬Ìå"/>
          <w:color w:val="000000"/>
          <w:spacing w:val="-1"/>
          <w:sz w:val="30"/>
        </w:rPr>
        <w:t>（四）系统规划节能标准体系框架。</w:t>
      </w:r>
      <w:r>
        <w:rPr>
          <w:rStyle w:val="DefaultParagraphFont"/>
          <w:rFonts w:ascii="JWOJWF+·ÂËÎ" w:hAnsi="JWOJWF+·ÂËÎ" w:eastAsiaTheme="minorHAnsi" w:cs="JWOJWF+·ÂËÎ"/>
          <w:color w:val="000000"/>
          <w:spacing w:val="0"/>
          <w:sz w:val="30"/>
        </w:rPr>
        <w:t>突出节能标准的规范引领</w:t>
      </w:r>
    </w:p>
    <w:p>
      <w:pPr>
        <w:pStyle w:val="Normal2"/>
        <w:framePr w:w="10005" w:x="1616" w:y="976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作用，按照节能过程环节将节能标准进行归类，构建节能标准体系</w:t>
      </w:r>
    </w:p>
    <w:p>
      <w:pPr>
        <w:pStyle w:val="Normal2"/>
        <w:framePr w:w="10005" w:x="1616" w:y="976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0"/>
          <w:sz w:val="30"/>
        </w:rPr>
        <w:t>框架。节能标准体系框架主要包括基础共性、目标、设计、建设、</w:t>
      </w:r>
    </w:p>
    <w:p>
      <w:pPr>
        <w:pStyle w:val="Normal2"/>
        <w:framePr w:w="10005" w:x="1616" w:y="9764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2"/>
          <w:sz w:val="30"/>
        </w:rPr>
        <w:t>运行、评估、优化等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0"/>
        </w:rPr>
        <w:t xml:space="preserve"> </w:t>
      </w:r>
      <w:r>
        <w:rPr>
          <w:rStyle w:val="DefaultParagraphFont"/>
          <w:rFonts w:ascii="TBOJMB+·ÂËÎ" w:eastAsiaTheme="minorHAnsi" w:hAnsiTheme="minorHAnsi" w:cstheme="minorBidi"/>
          <w:color w:val="000000"/>
          <w:spacing w:val="73"/>
          <w:sz w:val="30"/>
        </w:rPr>
        <w:t>7</w:t>
      </w: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个标准子体系。基础共性标准子体系是其他</w:t>
      </w:r>
    </w:p>
    <w:p>
      <w:pPr>
        <w:pStyle w:val="Normal2"/>
        <w:framePr w:w="10005" w:x="1616" w:y="976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节能标准的依据和基础。目标标准子体系包括能耗限额标准、能效</w:t>
      </w:r>
    </w:p>
    <w:p>
      <w:pPr>
        <w:pStyle w:val="Normal2"/>
        <w:framePr w:w="10005" w:x="1616" w:y="976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标准，是整个标准体系的关键和重点。设计标准子体系包括规划设</w:t>
      </w:r>
    </w:p>
    <w:p>
      <w:pPr>
        <w:pStyle w:val="Normal2"/>
        <w:framePr w:w="10005" w:x="1616" w:y="976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计和源头控制等方面的标准。建设标准子体系包括节能施工、验收</w:t>
      </w:r>
    </w:p>
    <w:p>
      <w:pPr>
        <w:pStyle w:val="Normal2"/>
        <w:framePr w:w="10005" w:x="1616" w:y="976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等方面的标准。运行标准子体系包括技术改造、运行维护等方面的</w:t>
      </w:r>
    </w:p>
    <w:p>
      <w:pPr>
        <w:pStyle w:val="Normal2"/>
        <w:framePr w:w="10005" w:x="1616" w:y="976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WOJWF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OJWF+·ÂËÎ" w:hAnsi="JWOJWF+·ÂËÎ" w:eastAsiaTheme="minorHAnsi" w:cs="JWOJWF+·ÂËÎ"/>
          <w:color w:val="000000"/>
          <w:spacing w:val="-1"/>
          <w:sz w:val="30"/>
        </w:rPr>
        <w:t>标准。评估标准子体系包括计量和检测、分析和计算、能效评估等</w:t>
      </w:r>
    </w:p>
    <w:p>
      <w:pPr>
        <w:pStyle w:val="Normal2"/>
        <w:framePr w:w="10005" w:x="1616" w:y="9764"/>
        <w:widowControl w:val="0"/>
        <w:autoSpaceDE w:val="0"/>
        <w:autoSpaceDN w:val="0"/>
        <w:spacing w:before="0" w:after="0" w:line="569" w:lineRule="exact"/>
        <w:ind w:left="4277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3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10005" w:x="16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方面的标准。优化标准子体系包括系统提升、节能服务、供需优化</w:t>
      </w:r>
    </w:p>
    <w:p>
      <w:pPr>
        <w:pStyle w:val="Normal3"/>
        <w:framePr w:w="10005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0"/>
          <w:sz w:val="30"/>
        </w:rPr>
        <w:t>等方面的标准。</w:t>
      </w:r>
    </w:p>
    <w:p>
      <w:pPr>
        <w:pStyle w:val="Normal3"/>
        <w:framePr w:w="10005" w:x="1616" w:y="329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WKPA+¿¬Ìå" w:hAnsi="NHWKPA+¿¬Ìå" w:eastAsiaTheme="minorHAnsi" w:cs="NHWKPA+¿¬Ìå"/>
          <w:color w:val="000000"/>
          <w:spacing w:val="-1"/>
          <w:sz w:val="30"/>
        </w:rPr>
        <w:t>（五）开展节能强制性标准整合精简。</w:t>
      </w:r>
      <w:r>
        <w:rPr>
          <w:rStyle w:val="DefaultParagraphFont"/>
          <w:rFonts w:ascii="EFQGEC+·ÂËÎ" w:hAnsi="EFQGEC+·ÂËÎ" w:eastAsiaTheme="minorHAnsi" w:cs="EFQGEC+·ÂËÎ"/>
          <w:color w:val="000000"/>
          <w:spacing w:val="0"/>
          <w:sz w:val="30"/>
        </w:rPr>
        <w:t>根据强制性标准整合精</w:t>
      </w:r>
    </w:p>
    <w:p>
      <w:pPr>
        <w:pStyle w:val="Normal3"/>
        <w:framePr w:w="10005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简工作方案，对现行的节能强制性国家、行业和地方标准及制修订</w:t>
      </w:r>
    </w:p>
    <w:p>
      <w:pPr>
        <w:pStyle w:val="Normal3"/>
        <w:framePr w:w="10005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计划开展整合精简，逐步解决现行节能强制性标准存在的交叉重复</w:t>
      </w:r>
    </w:p>
    <w:p>
      <w:pPr>
        <w:pStyle w:val="Normal3"/>
        <w:framePr w:w="10005" w:x="1616" w:y="329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矛盾、超范围制定等主要问题，推动实现一个市场、一条底线、一</w:t>
      </w:r>
    </w:p>
    <w:p>
      <w:pPr>
        <w:pStyle w:val="Normal3"/>
        <w:framePr w:w="10005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0"/>
          <w:sz w:val="30"/>
        </w:rPr>
        <w:t>个标准。</w:t>
      </w:r>
    </w:p>
    <w:p>
      <w:pPr>
        <w:pStyle w:val="Normal3"/>
        <w:framePr w:w="10005" w:x="1616" w:y="623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WKPA+¿¬Ìå" w:hAnsi="NHWKPA+¿¬Ìå" w:eastAsiaTheme="minorHAnsi" w:cs="NHWKPA+¿¬Ìå"/>
          <w:color w:val="000000"/>
          <w:spacing w:val="-1"/>
          <w:sz w:val="30"/>
        </w:rPr>
        <w:t>（六）建立能效“领跑者”指标与节能标准衔接机制。</w:t>
      </w:r>
      <w:r>
        <w:rPr>
          <w:rStyle w:val="DefaultParagraphFont"/>
          <w:rFonts w:ascii="EFQGEC+·ÂËÎ" w:hAnsi="EFQGEC+·ÂËÎ" w:eastAsiaTheme="minorHAnsi" w:cs="EFQGEC+·ÂËÎ"/>
          <w:color w:val="000000"/>
          <w:spacing w:val="0"/>
          <w:sz w:val="30"/>
        </w:rPr>
        <w:t>根据产</w:t>
      </w:r>
    </w:p>
    <w:p>
      <w:pPr>
        <w:pStyle w:val="Normal3"/>
        <w:framePr w:w="10005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业发展和产业政策调整情况，适时将能效“领跑者”指标纳入强制</w:t>
      </w:r>
    </w:p>
    <w:p>
      <w:pPr>
        <w:pStyle w:val="Normal3"/>
        <w:framePr w:w="10005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性终端用能产品能效标准和能耗限额标准指标体系，将能效“领跑</w:t>
      </w:r>
    </w:p>
    <w:p>
      <w:pPr>
        <w:pStyle w:val="Normal3"/>
        <w:framePr w:w="10005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10"/>
          <w:sz w:val="30"/>
        </w:rPr>
        <w:t>者”企业的能耗水平确定为高耗能及产能严重过剩行业的准入指</w:t>
      </w:r>
    </w:p>
    <w:p>
      <w:pPr>
        <w:pStyle w:val="Normal3"/>
        <w:framePr w:w="10005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0"/>
          <w:sz w:val="30"/>
        </w:rPr>
        <w:t>标。</w:t>
      </w:r>
    </w:p>
    <w:p>
      <w:pPr>
        <w:pStyle w:val="Normal3"/>
        <w:framePr w:w="10005" w:x="1616" w:y="917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NHWKPA+¿¬Ìå" w:hAnsi="NHWKPA+¿¬Ìå" w:eastAsiaTheme="minorHAnsi" w:cs="NHWKPA+¿¬Ìå"/>
          <w:color w:val="000000"/>
          <w:spacing w:val="-1"/>
          <w:sz w:val="30"/>
        </w:rPr>
        <w:t>（七）加强重点领域节能标准制修订工作。</w:t>
      </w: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继续实施“百项能</w:t>
      </w:r>
    </w:p>
    <w:p>
      <w:pPr>
        <w:pStyle w:val="Normal3"/>
        <w:framePr w:w="10005" w:x="1616" w:y="917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效标准推进工程”，不断提升节能标准技术要求。在工业领域，加</w:t>
      </w:r>
    </w:p>
    <w:p>
      <w:pPr>
        <w:pStyle w:val="Normal3"/>
        <w:framePr w:w="10005" w:x="1616" w:y="917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快制修订钢铁、有色、石化、化工、建材、机械、船舶等行业节能</w:t>
      </w:r>
    </w:p>
    <w:p>
      <w:pPr>
        <w:pStyle w:val="Normal3"/>
        <w:framePr w:w="10005" w:x="1616" w:y="917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0"/>
          <w:sz w:val="30"/>
        </w:rPr>
        <w:t>技术标准，形成覆盖生产设备节能、节能监测与管理、能源计量、</w:t>
      </w:r>
    </w:p>
    <w:p>
      <w:pPr>
        <w:pStyle w:val="Normal3"/>
        <w:framePr w:w="10005" w:x="1616" w:y="917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能源管理与审计等方面的标准体系；完善燃油经济性标准和新能源</w:t>
      </w:r>
    </w:p>
    <w:p>
      <w:pPr>
        <w:pStyle w:val="Normal3"/>
        <w:framePr w:w="10005" w:x="1616" w:y="917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汽车技术标准。在能源领域，重点制定煤炭清洁高效利用相关技术</w:t>
      </w:r>
    </w:p>
    <w:p>
      <w:pPr>
        <w:pStyle w:val="Normal3"/>
        <w:framePr w:w="10005" w:x="1616" w:y="917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标准，加强天然气、新能源、可再生能源标准制修订工作。在建筑</w:t>
      </w:r>
    </w:p>
    <w:p>
      <w:pPr>
        <w:pStyle w:val="Normal3"/>
        <w:framePr w:w="10005" w:x="1616" w:y="917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领域，完善绿色建筑与建筑节能设计、施工验收和评价标准，修订</w:t>
      </w:r>
    </w:p>
    <w:p>
      <w:pPr>
        <w:pStyle w:val="Normal3"/>
        <w:framePr w:w="10005" w:x="1616" w:y="917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建筑照明设计标准，建立绿色建材标准体系。在交通运输领域，完</w:t>
      </w:r>
    </w:p>
    <w:p>
      <w:pPr>
        <w:pStyle w:val="Normal3"/>
        <w:framePr w:w="10005" w:x="1616" w:y="917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FQGEC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FQGEC+·ÂËÎ" w:hAnsi="EFQGEC+·ÂËÎ" w:eastAsiaTheme="minorHAnsi" w:cs="EFQGEC+·ÂËÎ"/>
          <w:color w:val="000000"/>
          <w:spacing w:val="-1"/>
          <w:sz w:val="30"/>
        </w:rPr>
        <w:t>善用能设备设施能效标准、绿色交通评价、交通运输工具能耗监测</w:t>
      </w:r>
    </w:p>
    <w:p>
      <w:pPr>
        <w:pStyle w:val="Normal3"/>
        <w:framePr w:w="10005" w:x="1616" w:y="9176"/>
        <w:widowControl w:val="0"/>
        <w:autoSpaceDE w:val="0"/>
        <w:autoSpaceDN w:val="0"/>
        <w:spacing w:before="0" w:after="0" w:line="569" w:lineRule="exact"/>
        <w:ind w:left="4277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4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10005" w:x="16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等标准。在商贸流通等服务业领域，加快制修订零售业能源管理体</w:t>
      </w:r>
    </w:p>
    <w:p>
      <w:pPr>
        <w:pStyle w:val="Normal4"/>
        <w:framePr w:w="10005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系、绿色商场和绿色市场、绿色服务等标准。在公共机构领域，制</w:t>
      </w:r>
    </w:p>
    <w:p>
      <w:pPr>
        <w:pStyle w:val="Normal4"/>
        <w:framePr w:w="10005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修订公共机构能耗限额、能源统计、能源计量、节约型公共机构评</w:t>
      </w:r>
    </w:p>
    <w:p>
      <w:pPr>
        <w:pStyle w:val="Normal4"/>
        <w:framePr w:w="10005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价等标准。在农业领域，加快制修订农业机械、渔船和种植制度等</w:t>
      </w:r>
    </w:p>
    <w:p>
      <w:pPr>
        <w:pStyle w:val="Normal4"/>
        <w:framePr w:w="10005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农业生产领域高产节能、省柴节煤灶炕等农村生活节能，以及农作</w:t>
      </w:r>
    </w:p>
    <w:p>
      <w:pPr>
        <w:pStyle w:val="Normal4"/>
        <w:framePr w:w="10005" w:x="1616" w:y="2119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0"/>
          <w:sz w:val="30"/>
        </w:rPr>
        <w:t>物秸秆能源化高效利用等相关技术标准。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EPISG+¿¬Ìå" w:hAnsi="TEPISG+¿¬Ìå" w:eastAsiaTheme="minorHAnsi" w:cs="TEPISG+¿¬Ìå"/>
          <w:color w:val="000000"/>
          <w:spacing w:val="-1"/>
          <w:sz w:val="30"/>
        </w:rPr>
        <w:t>（八）增加节能标准的市场供给。</w:t>
      </w: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针对技术创新活跃、市场化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程度高、产品类标准较多的重点领域，推动新兴节能技术、产品和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服务快速转化为标准，供市场自愿选用。重点支持具有行业影响力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的社会团体、运营规范的企业快速响应节能技术创新和市场需求制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定团体标准、企业标准，通过市场竞争优胜劣汰。建立企业节能产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品、服务标准自我声明公开和监督制度，鼓励企业建立节能标准排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行榜。探索建立将技术水平高、节能效果好的节能团体标准、企业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0"/>
          <w:sz w:val="30"/>
        </w:rPr>
        <w:t>标准转化为地方标准、行业标准或国家标准的工作机制。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60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TEPISG+¿¬Ìå" w:hAnsi="TEPISG+¿¬Ìå" w:eastAsiaTheme="minorHAnsi" w:cs="TEPISG+¿¬Ìå"/>
          <w:color w:val="000000"/>
          <w:spacing w:val="-1"/>
          <w:sz w:val="30"/>
        </w:rPr>
        <w:t>（九）推进节能标准国际化。</w:t>
      </w: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跟踪节能领域国际标准，实质性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参与和主导制定一批节能国际标准，推动将具有我国自主知识产权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的技术转化为国际标准，提升国际标准话语权。加强双边、多边国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际合作机制下节能标准国际协调一致，推动与主要贸易国建立节能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6"/>
          <w:sz w:val="30"/>
        </w:rPr>
        <w:t>标准标识协调互认机制，促进投资贸易便利化。深化与“一带一路”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沿线国家和地区节能标准化双多边合作和互联互通，大力推动制冷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空调、照明产品、变压器等产品节能标准化合作，研究制定区域性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SNG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ISNGP+·ÂËÎ" w:hAnsi="RISNGP+·ÂËÎ" w:eastAsiaTheme="minorHAnsi" w:cs="RISNGP+·ÂËÎ"/>
          <w:color w:val="000000"/>
          <w:spacing w:val="-1"/>
          <w:sz w:val="30"/>
        </w:rPr>
        <w:t>节能标准，以节能标准“走出去”带动我国高效节能技术、产品和</w:t>
      </w:r>
    </w:p>
    <w:p>
      <w:pPr>
        <w:pStyle w:val="Normal4"/>
        <w:framePr w:w="10350" w:x="1616" w:y="5648"/>
        <w:widowControl w:val="0"/>
        <w:autoSpaceDE w:val="0"/>
        <w:autoSpaceDN w:val="0"/>
        <w:spacing w:before="0" w:after="0" w:line="569" w:lineRule="exact"/>
        <w:ind w:left="4277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5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3450" w:x="16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9"/>
          <w:sz w:val="30"/>
        </w:rPr>
        <w:t>装备“走出去”。</w:t>
      </w:r>
    </w:p>
    <w:p>
      <w:pPr>
        <w:pStyle w:val="Normal5"/>
        <w:framePr w:w="3450" w:x="1616" w:y="2119"/>
        <w:widowControl w:val="0"/>
        <w:autoSpaceDE w:val="0"/>
        <w:autoSpaceDN w:val="0"/>
        <w:spacing w:before="0" w:after="0" w:line="588" w:lineRule="exact"/>
        <w:ind w:left="600" w:right="0" w:firstLine="0"/>
        <w:jc w:val="left"/>
        <w:rPr>
          <w:rStyle w:val="DefaultParagraphFont"/>
          <w:rFonts w:ascii="OIPKKW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IPKKW+ºÚÌå" w:hAnsi="OIPKKW+ºÚÌå" w:eastAsiaTheme="minorHAnsi" w:cs="OIPKKW+ºÚÌå"/>
          <w:color w:val="000000"/>
          <w:spacing w:val="0"/>
          <w:sz w:val="30"/>
        </w:rPr>
        <w:t>四、健全管理机制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300" w:lineRule="exact"/>
        <w:ind w:left="607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KGETI+¿¬Ìå" w:hAnsi="WKGETI+¿¬Ìå" w:eastAsiaTheme="minorHAnsi" w:cs="WKGETI+¿¬Ìå"/>
          <w:color w:val="000000"/>
          <w:spacing w:val="-1"/>
          <w:sz w:val="30"/>
        </w:rPr>
        <w:t>（十）进一步明确工作职责。</w:t>
      </w: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国家标准委、国家发展改革委联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合制定节能标准管理办法。国家标准委、国家发展改革委负责制定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并维护节能标准体系，统筹管理节能强制性国家标准和推荐性国家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10"/>
          <w:sz w:val="30"/>
        </w:rPr>
        <w:t>标准制修订工作。国家标准委商国家发展改革委和国务院有关部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6"/>
          <w:sz w:val="30"/>
        </w:rPr>
        <w:t>门，负责节能国家标准的立项、起草、征求意见、技术审查等工作。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能效标准应制定为强制性国家标准，能耗限额标准原则上制定为强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制性国家标准。国务院各有关部门根据节能工作需要组织制修订节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能行业标准。国家标准委会同国务院有关部门加强对节能领域团体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标准制修订的规范、引导和监督。地方制定的节能标准原则上应为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推荐性标准，各省、自治区、直辖市根据节能工作需要可制定严于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能耗限额强制性国家标准的强制性地方标准。国家发展改革委和国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务院有关部门依据职责组织实施节能强制性国家标准。工程建设强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制性国家标准、强制性行业标准和强制性地方标准，按现有模式管</w:t>
      </w:r>
    </w:p>
    <w:p>
      <w:pPr>
        <w:pStyle w:val="Normal5"/>
        <w:framePr w:w="10350" w:x="1616" w:y="32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0"/>
          <w:sz w:val="30"/>
        </w:rPr>
        <w:t>理。</w:t>
      </w:r>
    </w:p>
    <w:p>
      <w:pPr>
        <w:pStyle w:val="Normal5"/>
        <w:framePr w:w="10005" w:x="1616" w:y="11529"/>
        <w:widowControl w:val="0"/>
        <w:autoSpaceDE w:val="0"/>
        <w:autoSpaceDN w:val="0"/>
        <w:spacing w:before="0" w:after="0" w:line="300" w:lineRule="exact"/>
        <w:ind w:left="607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KGETI+¿¬Ìå" w:hAnsi="WKGETI+¿¬Ìå" w:eastAsiaTheme="minorHAnsi" w:cs="WKGETI+¿¬Ìå"/>
          <w:color w:val="000000"/>
          <w:spacing w:val="-1"/>
          <w:sz w:val="30"/>
        </w:rPr>
        <w:t>（十一）建立节能标准更新机制。</w:t>
      </w: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国家标准委、国家发展改革</w:t>
      </w:r>
    </w:p>
    <w:p>
      <w:pPr>
        <w:pStyle w:val="Normal5"/>
        <w:framePr w:w="10005" w:x="1616" w:y="1152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委与国务院有关部门协调配合，完善节能标准更新机制。每年下达</w:t>
      </w:r>
    </w:p>
    <w:p>
      <w:pPr>
        <w:pStyle w:val="Normal5"/>
        <w:framePr w:w="10005" w:x="1616" w:y="1152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WAGUE+·ÂËÎ" w:eastAsiaTheme="minorHAnsi" w:hAnsiTheme="minorHAnsi" w:cstheme="minorBidi"/>
          <w:color w:val="000000"/>
          <w:spacing w:val="1"/>
          <w:sz w:val="30"/>
        </w:rPr>
        <w:t>1</w:t>
      </w:r>
      <w:r>
        <w:rPr>
          <w:rStyle w:val="DefaultParagraphFont"/>
          <w:rFonts w:ascii="OKAAHM+·ÂËÎ" w:hAnsi="OKAAHM+·ÂËÎ" w:eastAsiaTheme="minorHAnsi" w:cs="OKAAHM+·ÂËÎ"/>
          <w:color w:val="000000"/>
          <w:spacing w:val="0"/>
          <w:sz w:val="30"/>
        </w:rPr>
        <w:t>～</w:t>
      </w:r>
      <w:r>
        <w:rPr>
          <w:rStyle w:val="DefaultParagraphFont"/>
          <w:rFonts w:ascii="JWAGUE+·ÂËÎ" w:eastAsiaTheme="minorHAnsi" w:hAnsiTheme="minorHAnsi" w:cstheme="minorBidi"/>
          <w:color w:val="000000"/>
          <w:spacing w:val="73"/>
          <w:sz w:val="30"/>
        </w:rPr>
        <w:t>2</w:t>
      </w:r>
      <w:r>
        <w:rPr>
          <w:rStyle w:val="DefaultParagraphFont"/>
          <w:rFonts w:ascii="OKAAHM+·ÂËÎ" w:hAnsi="OKAAHM+·ÂËÎ" w:eastAsiaTheme="minorHAnsi" w:cs="OKAAHM+·ÂËÎ"/>
          <w:color w:val="000000"/>
          <w:spacing w:val="-4"/>
          <w:sz w:val="30"/>
        </w:rPr>
        <w:t>批节能标准专项计划，急需标准随时立项。完善节能标准复审</w:t>
      </w:r>
    </w:p>
    <w:p>
      <w:pPr>
        <w:pStyle w:val="Normal5"/>
        <w:framePr w:w="10005" w:x="1616" w:y="1152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机制，标准复审周期控制在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0"/>
        </w:rPr>
        <w:t xml:space="preserve"> </w:t>
      </w:r>
      <w:r>
        <w:rPr>
          <w:rStyle w:val="DefaultParagraphFont"/>
          <w:rFonts w:ascii="JWAGUE+·ÂËÎ" w:eastAsiaTheme="minorHAnsi" w:hAnsiTheme="minorHAnsi" w:cstheme="minorBidi"/>
          <w:color w:val="000000"/>
          <w:spacing w:val="73"/>
          <w:sz w:val="30"/>
        </w:rPr>
        <w:t>3</w:t>
      </w: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年以内，标准修订周期控制在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0"/>
        </w:rPr>
        <w:t xml:space="preserve"> </w:t>
      </w:r>
      <w:r>
        <w:rPr>
          <w:rStyle w:val="DefaultParagraphFont"/>
          <w:rFonts w:ascii="JWAGUE+·ÂËÎ" w:eastAsiaTheme="minorHAnsi" w:hAnsiTheme="minorHAnsi" w:cstheme="minorBidi"/>
          <w:color w:val="000000"/>
          <w:spacing w:val="73"/>
          <w:sz w:val="30"/>
        </w:rPr>
        <w:t>2</w:t>
      </w:r>
      <w:r>
        <w:rPr>
          <w:rStyle w:val="DefaultParagraphFont"/>
          <w:rFonts w:ascii="OKAAHM+·ÂËÎ" w:hAnsi="OKAAHM+·ÂËÎ" w:eastAsiaTheme="minorHAnsi" w:cs="OKAAHM+·ÂËÎ"/>
          <w:color w:val="000000"/>
          <w:spacing w:val="0"/>
          <w:sz w:val="30"/>
        </w:rPr>
        <w:t>年以</w:t>
      </w:r>
    </w:p>
    <w:p>
      <w:pPr>
        <w:pStyle w:val="Normal5"/>
        <w:framePr w:w="10005" w:x="1616" w:y="1152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-1"/>
          <w:sz w:val="30"/>
        </w:rPr>
        <w:t>内，确保强制性能效和能耗指标的先进性、科学性和有效性。能效</w:t>
      </w:r>
    </w:p>
    <w:p>
      <w:pPr>
        <w:pStyle w:val="Normal5"/>
        <w:framePr w:w="10005" w:x="1616" w:y="1152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KAAHM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KAAHM+·ÂËÎ" w:hAnsi="OKAAHM+·ÂËÎ" w:eastAsiaTheme="minorHAnsi" w:cs="OKAAHM+·ÂËÎ"/>
          <w:color w:val="000000"/>
          <w:spacing w:val="0"/>
          <w:sz w:val="30"/>
        </w:rPr>
        <w:t>标准中的能效限定值和能耗限额标准中的能耗限定值应淘汰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1"/>
          <w:sz w:val="30"/>
        </w:rPr>
        <w:t xml:space="preserve"> </w:t>
      </w:r>
      <w:r>
        <w:rPr>
          <w:rStyle w:val="DefaultParagraphFont"/>
          <w:rFonts w:ascii="JWAGUE+·ÂËÎ" w:eastAsiaTheme="minorHAnsi" w:hAnsiTheme="minorHAnsi" w:cstheme="minorBidi"/>
          <w:color w:val="000000"/>
          <w:spacing w:val="0"/>
          <w:sz w:val="30"/>
        </w:rPr>
        <w:t>20%</w:t>
      </w:r>
      <w:r>
        <w:rPr>
          <w:rStyle w:val="DefaultParagraphFont"/>
          <w:rFonts w:ascii="OKAAHM+·ÂËÎ" w:hAnsi="OKAAHM+·ÂËÎ" w:eastAsiaTheme="minorHAnsi" w:cs="OKAAHM+·ÂËÎ"/>
          <w:color w:val="000000"/>
          <w:spacing w:val="0"/>
          <w:sz w:val="30"/>
        </w:rPr>
        <w:t>左</w:t>
      </w:r>
    </w:p>
    <w:p>
      <w:pPr>
        <w:pStyle w:val="Normal5"/>
        <w:framePr w:w="10005" w:x="1616" w:y="11529"/>
        <w:widowControl w:val="0"/>
        <w:autoSpaceDE w:val="0"/>
        <w:autoSpaceDN w:val="0"/>
        <w:spacing w:before="0" w:after="0" w:line="569" w:lineRule="exact"/>
        <w:ind w:left="4277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6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4140" w:x="16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0"/>
          <w:sz w:val="30"/>
        </w:rPr>
        <w:t>右的落后产品和落后产能。</w:t>
      </w:r>
    </w:p>
    <w:p>
      <w:pPr>
        <w:pStyle w:val="Normal6"/>
        <w:framePr w:w="10006" w:x="1616" w:y="2707"/>
        <w:widowControl w:val="0"/>
        <w:autoSpaceDE w:val="0"/>
        <w:autoSpaceDN w:val="0"/>
        <w:spacing w:before="0" w:after="0" w:line="300" w:lineRule="exact"/>
        <w:ind w:left="607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KJPAU+¿¬Ìå" w:hAnsi="BKJPAU+¿¬Ìå" w:eastAsiaTheme="minorHAnsi" w:cs="BKJPAU+¿¬Ìå"/>
          <w:color w:val="000000"/>
          <w:spacing w:val="-2"/>
          <w:sz w:val="30"/>
        </w:rPr>
        <w:t>（十二）开展节能标准监督检查。</w:t>
      </w:r>
      <w:r>
        <w:rPr>
          <w:rStyle w:val="DefaultParagraphFont"/>
          <w:rFonts w:ascii="FWJGPP+·ÂËÎ" w:hAnsi="FWJGPP+·ÂËÎ" w:eastAsiaTheme="minorHAnsi" w:cs="FWJGPP+·ÂËÎ"/>
          <w:color w:val="000000"/>
          <w:spacing w:val="0"/>
          <w:sz w:val="30"/>
        </w:rPr>
        <w:t>县级以上节能主管部门依据</w:t>
      </w:r>
    </w:p>
    <w:p>
      <w:pPr>
        <w:pStyle w:val="Normal6"/>
        <w:framePr w:w="10006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-1"/>
          <w:sz w:val="30"/>
        </w:rPr>
        <w:t>《节能监察办法》规范节能监察行为，会同有关部门结合本地实际</w:t>
      </w:r>
    </w:p>
    <w:p>
      <w:pPr>
        <w:pStyle w:val="Normal6"/>
        <w:framePr w:w="10006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-1"/>
          <w:sz w:val="30"/>
        </w:rPr>
        <w:t>编制节能监察计划，组织节能监察机构根据节能强制性标准对辖区</w:t>
      </w:r>
    </w:p>
    <w:p>
      <w:pPr>
        <w:pStyle w:val="Normal6"/>
        <w:framePr w:w="10006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0"/>
          <w:sz w:val="30"/>
        </w:rPr>
        <w:t>内能源生产、经营、使用单位和其他相关单位开展节能监督检查，</w:t>
      </w:r>
    </w:p>
    <w:p>
      <w:pPr>
        <w:pStyle w:val="Normal6"/>
        <w:framePr w:w="10006" w:x="1616" w:y="2707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0"/>
          <w:sz w:val="30"/>
        </w:rPr>
        <w:t>严肃查处违法违规用能行为，并提出依法用能、合理用能的建议。</w:t>
      </w:r>
    </w:p>
    <w:p>
      <w:pPr>
        <w:pStyle w:val="Normal6"/>
        <w:framePr w:w="10006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-1"/>
          <w:sz w:val="30"/>
        </w:rPr>
        <w:t>畅通节能标准违规投诉举报渠道，调动社会各方力量参与节能标准</w:t>
      </w:r>
    </w:p>
    <w:p>
      <w:pPr>
        <w:pStyle w:val="Normal6"/>
        <w:framePr w:w="10006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0"/>
          <w:sz w:val="30"/>
        </w:rPr>
        <w:t>实施情况的监督。</w:t>
      </w:r>
    </w:p>
    <w:p>
      <w:pPr>
        <w:pStyle w:val="Normal6"/>
        <w:framePr w:w="10152" w:x="1616" w:y="682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BKJPAU+¿¬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KJPAU+¿¬Ìå" w:hAnsi="BKJPAU+¿¬Ìå" w:eastAsiaTheme="minorHAnsi" w:cs="BKJPAU+¿¬Ìå"/>
          <w:color w:val="000000"/>
          <w:spacing w:val="10"/>
          <w:sz w:val="30"/>
        </w:rPr>
        <w:t>（十三）实行节能强制性国家标准实施效果统计分析报告制</w:t>
      </w:r>
    </w:p>
    <w:p>
      <w:pPr>
        <w:pStyle w:val="Normal6"/>
        <w:framePr w:w="10152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KJPAU+¿¬Ìå" w:hAnsi="BKJPAU+¿¬Ìå" w:eastAsiaTheme="minorHAnsi" w:cs="BKJPAU+¿¬Ìå"/>
          <w:color w:val="000000"/>
          <w:spacing w:val="-6"/>
          <w:sz w:val="30"/>
        </w:rPr>
        <w:t>度。</w:t>
      </w:r>
      <w:r>
        <w:rPr>
          <w:rStyle w:val="DefaultParagraphFont"/>
          <w:rFonts w:ascii="FWJGPP+·ÂËÎ" w:hAnsi="FWJGPP+·ÂËÎ" w:eastAsiaTheme="minorHAnsi" w:cs="FWJGPP+·ÂËÎ"/>
          <w:color w:val="000000"/>
          <w:spacing w:val="-1"/>
          <w:sz w:val="30"/>
        </w:rPr>
        <w:t>国家标准委、国家发展改革委会同国务院有关部门委托全国能</w:t>
      </w:r>
    </w:p>
    <w:p>
      <w:pPr>
        <w:pStyle w:val="Normal6"/>
        <w:framePr w:w="10152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10"/>
          <w:sz w:val="30"/>
        </w:rPr>
        <w:t>源基础与管理标准化技术委员会或相关机构开展标准实施效果评</w:t>
      </w:r>
    </w:p>
    <w:p>
      <w:pPr>
        <w:pStyle w:val="Normal6"/>
        <w:framePr w:w="10152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-5"/>
          <w:sz w:val="30"/>
        </w:rPr>
        <w:t>估，每年选择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0"/>
        </w:rPr>
        <w:t xml:space="preserve"> </w:t>
      </w:r>
      <w:r>
        <w:rPr>
          <w:rStyle w:val="DefaultParagraphFont"/>
          <w:rFonts w:ascii="VGJCOG+·ÂËÎ" w:eastAsiaTheme="minorHAnsi" w:hAnsiTheme="minorHAnsi" w:cstheme="minorBidi"/>
          <w:color w:val="000000"/>
          <w:spacing w:val="-1"/>
          <w:sz w:val="30"/>
        </w:rPr>
        <w:t>1</w:t>
      </w:r>
      <w:r>
        <w:rPr>
          <w:rStyle w:val="DefaultParagraphFont"/>
          <w:rFonts w:ascii="FWJGPP+·ÂËÎ" w:hAnsi="FWJGPP+·ÂËÎ" w:eastAsiaTheme="minorHAnsi" w:cs="FWJGPP+·ÂËÎ"/>
          <w:color w:val="000000"/>
          <w:spacing w:val="1"/>
          <w:sz w:val="30"/>
        </w:rPr>
        <w:t>～</w:t>
      </w:r>
      <w:r>
        <w:rPr>
          <w:rStyle w:val="DefaultParagraphFont"/>
          <w:rFonts w:ascii="VGJCOG+·ÂËÎ" w:eastAsiaTheme="minorHAnsi" w:hAnsiTheme="minorHAnsi" w:cstheme="minorBidi"/>
          <w:color w:val="000000"/>
          <w:spacing w:val="76"/>
          <w:sz w:val="30"/>
        </w:rPr>
        <w:t>2</w:t>
      </w:r>
      <w:r>
        <w:rPr>
          <w:rStyle w:val="DefaultParagraphFont"/>
          <w:rFonts w:ascii="FWJGPP+·ÂËÎ" w:hAnsi="FWJGPP+·ÂËÎ" w:eastAsiaTheme="minorHAnsi" w:cs="FWJGPP+·ÂËÎ"/>
          <w:color w:val="000000"/>
          <w:spacing w:val="0"/>
          <w:sz w:val="30"/>
        </w:rPr>
        <w:t>类节能强制性国家标准开展标准实施效果评估，</w:t>
      </w:r>
    </w:p>
    <w:p>
      <w:pPr>
        <w:pStyle w:val="Normal6"/>
        <w:framePr w:w="10152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-1"/>
          <w:sz w:val="30"/>
        </w:rPr>
        <w:t>通过抽样调查、数据整理、投入产出分析、节能效益分析等形成评</w:t>
      </w:r>
    </w:p>
    <w:p>
      <w:pPr>
        <w:pStyle w:val="Normal6"/>
        <w:framePr w:w="10152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-1"/>
          <w:sz w:val="30"/>
        </w:rPr>
        <w:t>估结论。各部门、各地区组织开展节能领域重要行业、地方标准实</w:t>
      </w:r>
    </w:p>
    <w:p>
      <w:pPr>
        <w:pStyle w:val="Normal6"/>
        <w:framePr w:w="10152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0"/>
          <w:sz w:val="30"/>
        </w:rPr>
        <w:t>施情况评估，每年向国家标准委、国家发展改革委报告评估结果。</w:t>
      </w:r>
    </w:p>
    <w:p>
      <w:pPr>
        <w:pStyle w:val="Normal6"/>
        <w:framePr w:w="10152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-1"/>
          <w:sz w:val="30"/>
        </w:rPr>
        <w:t>国家标准委、国家发展改革委会同国务院有关部门根据评估结果适</w:t>
      </w:r>
    </w:p>
    <w:p>
      <w:pPr>
        <w:pStyle w:val="Normal6"/>
        <w:framePr w:w="10152" w:x="1616" w:y="6824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0"/>
          <w:sz w:val="30"/>
        </w:rPr>
        <w:t>时组织制修订节能国家标准。</w:t>
      </w:r>
    </w:p>
    <w:p>
      <w:pPr>
        <w:pStyle w:val="Normal6"/>
        <w:framePr w:w="3795" w:x="2216" w:y="12117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FFDOPO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FDOPO+ºÚÌå" w:hAnsi="FFDOPO+ºÚÌå" w:eastAsiaTheme="minorHAnsi" w:cs="FFDOPO+ºÚÌå"/>
          <w:color w:val="000000"/>
          <w:spacing w:val="0"/>
          <w:sz w:val="30"/>
        </w:rPr>
        <w:t>五、夯实节能标准化基础</w:t>
      </w:r>
    </w:p>
    <w:p>
      <w:pPr>
        <w:pStyle w:val="Normal6"/>
        <w:framePr w:w="10005" w:x="1616" w:y="12705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BKJPAU+¿¬Ìå" w:hAnsi="BKJPAU+¿¬Ìå" w:eastAsiaTheme="minorHAnsi" w:cs="BKJPAU+¿¬Ìå"/>
          <w:color w:val="000000"/>
          <w:spacing w:val="-1"/>
          <w:sz w:val="30"/>
        </w:rPr>
        <w:t>（十四）加强节能标准化科技创新。</w:t>
      </w:r>
      <w:r>
        <w:rPr>
          <w:rStyle w:val="DefaultParagraphFont"/>
          <w:rFonts w:ascii="FWJGPP+·ÂËÎ" w:hAnsi="FWJGPP+·ÂËÎ" w:eastAsiaTheme="minorHAnsi" w:cs="FWJGPP+·ÂËÎ"/>
          <w:color w:val="000000"/>
          <w:spacing w:val="0"/>
          <w:sz w:val="30"/>
        </w:rPr>
        <w:t>实施科技创新驱动发展战</w:t>
      </w:r>
    </w:p>
    <w:p>
      <w:pPr>
        <w:pStyle w:val="Normal6"/>
        <w:framePr w:w="10005" w:x="1616" w:y="1270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-1"/>
          <w:sz w:val="30"/>
        </w:rPr>
        <w:t>略，加强节能领域技术标准科研工作规划，加强节能标准研究、制</w:t>
      </w:r>
    </w:p>
    <w:p>
      <w:pPr>
        <w:pStyle w:val="Normal6"/>
        <w:framePr w:w="10005" w:x="1616" w:y="1270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-1"/>
          <w:sz w:val="30"/>
        </w:rPr>
        <w:t>修订和效果评估，提高节能标准的适用性。强化节能技术研发与节</w:t>
      </w:r>
    </w:p>
    <w:p>
      <w:pPr>
        <w:pStyle w:val="Normal6"/>
        <w:framePr w:w="10005" w:x="1616" w:y="1270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WJGPP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WJGPP+·ÂËÎ" w:hAnsi="FWJGPP+·ÂËÎ" w:eastAsiaTheme="minorHAnsi" w:cs="FWJGPP+·ÂËÎ"/>
          <w:color w:val="000000"/>
          <w:spacing w:val="0"/>
          <w:sz w:val="30"/>
        </w:rPr>
        <w:t>能标准制修订衔接，建设产学研用有机结合的节能标准创新基地，</w:t>
      </w:r>
    </w:p>
    <w:p>
      <w:pPr>
        <w:pStyle w:val="Normal6"/>
        <w:framePr w:w="10005" w:x="1616" w:y="12705"/>
        <w:widowControl w:val="0"/>
        <w:autoSpaceDE w:val="0"/>
        <w:autoSpaceDN w:val="0"/>
        <w:spacing w:before="0" w:after="0" w:line="569" w:lineRule="exact"/>
        <w:ind w:left="4277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7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10350" w:x="16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0"/>
          <w:sz w:val="30"/>
        </w:rPr>
        <w:t>培育形成技术研发</w:t>
      </w:r>
      <w:r>
        <w:rPr>
          <w:rStyle w:val="DefaultParagraphFont"/>
          <w:rFonts w:ascii="NFTVUQ+ËÎÌå" w:hAnsi="NFTVUQ+ËÎÌå" w:eastAsiaTheme="minorHAnsi" w:cs="NFTVUQ+ËÎÌå"/>
          <w:color w:val="000000"/>
          <w:spacing w:val="0"/>
          <w:sz w:val="30"/>
        </w:rPr>
        <w:t>—</w:t>
      </w:r>
      <w:r>
        <w:rPr>
          <w:rStyle w:val="DefaultParagraphFont"/>
          <w:rFonts w:ascii="WLONNK+·ÂËÎ" w:hAnsi="WLONNK+·ÂËÎ" w:eastAsiaTheme="minorHAnsi" w:cs="WLONNK+·ÂËÎ"/>
          <w:color w:val="000000"/>
          <w:spacing w:val="1"/>
          <w:sz w:val="30"/>
        </w:rPr>
        <w:t>标准研制</w:t>
      </w:r>
      <w:r>
        <w:rPr>
          <w:rStyle w:val="DefaultParagraphFont"/>
          <w:rFonts w:ascii="NFTVUQ+ËÎÌå" w:hAnsi="NFTVUQ+ËÎÌå" w:eastAsiaTheme="minorHAnsi" w:cs="NFTVUQ+ËÎÌå"/>
          <w:color w:val="000000"/>
          <w:spacing w:val="-2"/>
          <w:sz w:val="30"/>
        </w:rPr>
        <w:t>—</w:t>
      </w:r>
      <w:r>
        <w:rPr>
          <w:rStyle w:val="DefaultParagraphFont"/>
          <w:rFonts w:ascii="WLONNK+·ÂËÎ" w:hAnsi="WLONNK+·ÂËÎ" w:eastAsiaTheme="minorHAnsi" w:cs="WLONNK+·ÂËÎ"/>
          <w:color w:val="000000"/>
          <w:spacing w:val="0"/>
          <w:sz w:val="30"/>
        </w:rPr>
        <w:t>产业推广应用的科技创新机制。</w:t>
      </w:r>
    </w:p>
    <w:p>
      <w:pPr>
        <w:pStyle w:val="Normal7"/>
        <w:framePr w:w="10350" w:x="1616" w:y="2119"/>
        <w:widowControl w:val="0"/>
        <w:autoSpaceDE w:val="0"/>
        <w:autoSpaceDN w:val="0"/>
        <w:spacing w:before="0" w:after="0" w:line="588" w:lineRule="exact"/>
        <w:ind w:left="60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QSWB+¿¬Ìå" w:hAnsi="FGQSWB+¿¬Ìå" w:eastAsiaTheme="minorHAnsi" w:cs="FGQSWB+¿¬Ìå"/>
          <w:color w:val="000000"/>
          <w:spacing w:val="-1"/>
          <w:sz w:val="30"/>
        </w:rPr>
        <w:t>（十五）加强能源统计计量。</w:t>
      </w:r>
      <w:r>
        <w:rPr>
          <w:rStyle w:val="DefaultParagraphFont"/>
          <w:rFonts w:ascii="WLONNK+·ÂËÎ" w:hAnsi="WLONNK+·ÂËÎ" w:eastAsiaTheme="minorHAnsi" w:cs="WLONNK+·ÂËÎ"/>
          <w:color w:val="000000"/>
          <w:spacing w:val="-1"/>
          <w:sz w:val="30"/>
        </w:rPr>
        <w:t>强化用能单位能源计量、统计分</w:t>
      </w:r>
    </w:p>
    <w:p>
      <w:pPr>
        <w:pStyle w:val="Normal7"/>
        <w:framePr w:w="10350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-1"/>
          <w:sz w:val="30"/>
        </w:rPr>
        <w:t>析等制度实施，不断完善能源计量相关标准体系建设。加强能源计</w:t>
      </w:r>
    </w:p>
    <w:p>
      <w:pPr>
        <w:pStyle w:val="Normal7"/>
        <w:framePr w:w="10350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-1"/>
          <w:sz w:val="30"/>
        </w:rPr>
        <w:t>量器具智能化升级、配备、安装以及能源计量数据采集等方面的标</w:t>
      </w:r>
    </w:p>
    <w:p>
      <w:pPr>
        <w:pStyle w:val="Normal7"/>
        <w:framePr w:w="10350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-6"/>
          <w:sz w:val="30"/>
        </w:rPr>
        <w:t>准制修订，不断提高能源计量器具的标准化、智能化、规范化水平，</w:t>
      </w:r>
    </w:p>
    <w:p>
      <w:pPr>
        <w:pStyle w:val="Normal7"/>
        <w:framePr w:w="10350" w:x="1616" w:y="2119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-1"/>
          <w:sz w:val="30"/>
        </w:rPr>
        <w:t>提高能耗监测数据记录的完整性、准确性、持续性。严格执行能源</w:t>
      </w:r>
    </w:p>
    <w:p>
      <w:pPr>
        <w:pStyle w:val="Normal7"/>
        <w:framePr w:w="10350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0"/>
          <w:sz w:val="30"/>
        </w:rPr>
        <w:t>计量器具配备相关标准，确保数据质量。</w:t>
      </w:r>
    </w:p>
    <w:p>
      <w:pPr>
        <w:pStyle w:val="Normal7"/>
        <w:framePr w:w="10005" w:x="1616" w:y="623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QSWB+¿¬Ìå" w:hAnsi="FGQSWB+¿¬Ìå" w:eastAsiaTheme="minorHAnsi" w:cs="FGQSWB+¿¬Ìå"/>
          <w:color w:val="000000"/>
          <w:spacing w:val="-1"/>
          <w:sz w:val="30"/>
        </w:rPr>
        <w:t>（十六）加强节能检测认证和监督监测能力建设。</w:t>
      </w:r>
      <w:r>
        <w:rPr>
          <w:rStyle w:val="DefaultParagraphFont"/>
          <w:rFonts w:ascii="WLONNK+·ÂËÎ" w:hAnsi="WLONNK+·ÂËÎ" w:eastAsiaTheme="minorHAnsi" w:cs="WLONNK+·ÂËÎ"/>
          <w:color w:val="000000"/>
          <w:spacing w:val="0"/>
          <w:sz w:val="30"/>
        </w:rPr>
        <w:t>加强节能检</w:t>
      </w:r>
    </w:p>
    <w:p>
      <w:pPr>
        <w:pStyle w:val="Normal7"/>
        <w:framePr w:w="10005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-1"/>
          <w:sz w:val="30"/>
        </w:rPr>
        <w:t>测认证机构符合性验证能力建设，为节能标准实施提供支撑。加大</w:t>
      </w:r>
    </w:p>
    <w:p>
      <w:pPr>
        <w:pStyle w:val="Normal7"/>
        <w:framePr w:w="10005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-1"/>
          <w:sz w:val="30"/>
        </w:rPr>
        <w:t>节能监察技术人员培训力度，提升各级节能监察机构和主要耗能行</w:t>
      </w:r>
    </w:p>
    <w:p>
      <w:pPr>
        <w:pStyle w:val="Normal7"/>
        <w:framePr w:w="10005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0"/>
          <w:sz w:val="30"/>
        </w:rPr>
        <w:t>业节能监测中心监测能力。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QSWB+¿¬Ìå" w:hAnsi="FGQSWB+¿¬Ìå" w:eastAsiaTheme="minorHAnsi" w:cs="FGQSWB+¿¬Ìå"/>
          <w:color w:val="000000"/>
          <w:spacing w:val="-10"/>
          <w:sz w:val="30"/>
        </w:rPr>
        <w:t>（十七）加强节能标准化信息平台建设。</w:t>
      </w:r>
      <w:r>
        <w:rPr>
          <w:rStyle w:val="DefaultParagraphFont"/>
          <w:rFonts w:ascii="WLONNK+·ÂËÎ" w:hAnsi="WLONNK+·ÂËÎ" w:eastAsiaTheme="minorHAnsi" w:cs="WLONNK+·ÂËÎ"/>
          <w:color w:val="000000"/>
          <w:spacing w:val="0"/>
          <w:sz w:val="30"/>
        </w:rPr>
        <w:t>充分运用信息化手段，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0"/>
          <w:sz w:val="30"/>
        </w:rPr>
        <w:t>建立节能标准制修订全过程信息公开和服务平台，强化信息共享、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-1"/>
          <w:sz w:val="30"/>
        </w:rPr>
        <w:t>社会监督、自查自纠。及时发布节能标准制修订计划、起草单位征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-1"/>
          <w:sz w:val="30"/>
        </w:rPr>
        <w:t>集、征求意见、宣贯培训等信息，方便查询节能标准信息、反馈实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0"/>
          <w:sz w:val="30"/>
        </w:rPr>
        <w:t>施情况、提出标准需求，提升节能标准化信息平台服务能力。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589" w:lineRule="exact"/>
        <w:ind w:left="60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QSWB+¿¬Ìå" w:hAnsi="FGQSWB+¿¬Ìå" w:eastAsiaTheme="minorHAnsi" w:cs="FGQSWB+¿¬Ìå"/>
          <w:color w:val="000000"/>
          <w:spacing w:val="-1"/>
          <w:sz w:val="30"/>
        </w:rPr>
        <w:t>（十八）实施节能标准化示范工程。</w:t>
      </w:r>
      <w:r>
        <w:rPr>
          <w:rStyle w:val="DefaultParagraphFont"/>
          <w:rFonts w:ascii="WLONNK+·ÂËÎ" w:hAnsi="WLONNK+·ÂËÎ" w:eastAsiaTheme="minorHAnsi" w:cs="WLONNK+·ÂËÎ"/>
          <w:color w:val="000000"/>
          <w:spacing w:val="0"/>
          <w:sz w:val="30"/>
        </w:rPr>
        <w:t>选择具有示范作用和辐射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-1"/>
          <w:sz w:val="30"/>
        </w:rPr>
        <w:t>效应的园区或重点用能企业，创建一批节能标准化示范项目，推动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-1"/>
          <w:sz w:val="30"/>
        </w:rPr>
        <w:t>节能标准有效实施，促进先进节能技术、产品和服务应用，提升能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-1"/>
          <w:sz w:val="30"/>
        </w:rPr>
        <w:t>源利用效率。建立国家节能标准化示范项目案例库，积极开展示范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WLONNK+·ÂËÎ" w:hAnsi="WLONNK+·ÂËÎ" w:eastAsiaTheme="minorHAnsi" w:cs="WLONNK+·ÂËÎ"/>
          <w:color w:val="000000"/>
          <w:spacing w:val="0"/>
          <w:sz w:val="30"/>
        </w:rPr>
        <w:t>项目经验宣传和培训，促进典型实践案例复制和推广。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588" w:lineRule="exact"/>
        <w:ind w:left="600" w:right="0" w:firstLine="0"/>
        <w:jc w:val="left"/>
        <w:rPr>
          <w:rStyle w:val="DefaultParagraphFont"/>
          <w:rFonts w:ascii="WLONNK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GQSWB+¿¬Ìå" w:hAnsi="FGQSWB+¿¬Ìå" w:eastAsiaTheme="minorHAnsi" w:cs="FGQSWB+¿¬Ìå"/>
          <w:color w:val="000000"/>
          <w:spacing w:val="0"/>
          <w:sz w:val="30"/>
        </w:rPr>
        <w:t>（十九）完善节能标准化服务。</w:t>
      </w:r>
      <w:r>
        <w:rPr>
          <w:rStyle w:val="DefaultParagraphFont"/>
          <w:rFonts w:ascii="WLONNK+·ÂËÎ" w:hAnsi="WLONNK+·ÂËÎ" w:eastAsiaTheme="minorHAnsi" w:cs="WLONNK+·ÂËÎ"/>
          <w:color w:val="000000"/>
          <w:spacing w:val="0"/>
          <w:sz w:val="30"/>
        </w:rPr>
        <w:t>探索节能标准化服务新模式，</w:t>
      </w:r>
    </w:p>
    <w:p>
      <w:pPr>
        <w:pStyle w:val="Normal7"/>
        <w:framePr w:w="10150" w:x="1616" w:y="8588"/>
        <w:widowControl w:val="0"/>
        <w:autoSpaceDE w:val="0"/>
        <w:autoSpaceDN w:val="0"/>
        <w:spacing w:before="0" w:after="0" w:line="569" w:lineRule="exact"/>
        <w:ind w:left="4277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8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10350" w:x="16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0"/>
          <w:sz w:val="30"/>
        </w:rPr>
        <w:t>充分发挥学会、协会等社会团体的作用，开展节能标准宣传贯彻、</w:t>
      </w:r>
    </w:p>
    <w:p>
      <w:pPr>
        <w:pStyle w:val="Normal8"/>
        <w:framePr w:w="10350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6"/>
          <w:sz w:val="30"/>
        </w:rPr>
        <w:t>信息咨询、标准比对、实施效果评估等服务。采取新闻发布、网站、</w:t>
      </w:r>
    </w:p>
    <w:p>
      <w:pPr>
        <w:pStyle w:val="Normal8"/>
        <w:framePr w:w="10350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平面媒体等多种措施，普及节能标准化知识，增强政府部门、用能</w:t>
      </w:r>
    </w:p>
    <w:p>
      <w:pPr>
        <w:pStyle w:val="Normal8"/>
        <w:framePr w:w="10350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单位和消费者的节能标准化意识。免费向社会公开节能强制性国家</w:t>
      </w:r>
    </w:p>
    <w:p>
      <w:pPr>
        <w:pStyle w:val="Normal8"/>
        <w:framePr w:w="10350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0"/>
          <w:sz w:val="30"/>
        </w:rPr>
        <w:t>标准文本。</w:t>
      </w:r>
    </w:p>
    <w:p>
      <w:pPr>
        <w:pStyle w:val="Normal8"/>
        <w:framePr w:w="2250" w:x="2216" w:y="50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REQDIV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REQDIV+ºÚÌå" w:hAnsi="REQDIV+ºÚÌå" w:eastAsiaTheme="minorHAnsi" w:cs="REQDIV+ºÚÌå"/>
          <w:color w:val="000000"/>
          <w:spacing w:val="0"/>
          <w:sz w:val="30"/>
        </w:rPr>
        <w:t>六、保障措施</w:t>
      </w:r>
    </w:p>
    <w:p>
      <w:pPr>
        <w:pStyle w:val="Normal8"/>
        <w:framePr w:w="10005" w:x="1616" w:y="564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MLTG+¿¬Ìå" w:hAnsi="AEMLTG+¿¬Ìå" w:eastAsiaTheme="minorHAnsi" w:cs="AEMLTG+¿¬Ìå"/>
          <w:color w:val="000000"/>
          <w:spacing w:val="-2"/>
          <w:sz w:val="30"/>
        </w:rPr>
        <w:t>（二十）落实用能单位主体责任。</w:t>
      </w:r>
      <w:r>
        <w:rPr>
          <w:rStyle w:val="DefaultParagraphFont"/>
          <w:rFonts w:ascii="AQJWBH+·ÂËÎ" w:hAnsi="AQJWBH+·ÂËÎ" w:eastAsiaTheme="minorHAnsi" w:cs="AQJWBH+·ÂËÎ"/>
          <w:color w:val="000000"/>
          <w:spacing w:val="0"/>
          <w:sz w:val="30"/>
        </w:rPr>
        <w:t>督促用能单位实施强制性能</w:t>
      </w:r>
    </w:p>
    <w:p>
      <w:pPr>
        <w:pStyle w:val="Normal8"/>
        <w:framePr w:w="10005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耗限额标准和终端用能产品能效标准，引导用能单位实施推荐性节</w:t>
      </w:r>
    </w:p>
    <w:p>
      <w:pPr>
        <w:pStyle w:val="Normal8"/>
        <w:framePr w:w="10005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能标准，组织开展用能单位能效对标活动，推动用能单位建立起规</w:t>
      </w:r>
    </w:p>
    <w:p>
      <w:pPr>
        <w:pStyle w:val="Normal8"/>
        <w:framePr w:w="10005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范化、常态化的节能标准运行机制，确保实现能源消费总量和强度</w:t>
      </w:r>
    </w:p>
    <w:p>
      <w:pPr>
        <w:pStyle w:val="Normal8"/>
        <w:framePr w:w="10005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0"/>
          <w:sz w:val="30"/>
        </w:rPr>
        <w:t>“双控”目标。</w:t>
      </w:r>
    </w:p>
    <w:p>
      <w:pPr>
        <w:pStyle w:val="Normal8"/>
        <w:framePr w:w="10005" w:x="1616" w:y="858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MLTG+¿¬Ìå" w:hAnsi="AEMLTG+¿¬Ìå" w:eastAsiaTheme="minorHAnsi" w:cs="AEMLTG+¿¬Ìå"/>
          <w:color w:val="000000"/>
          <w:spacing w:val="-1"/>
          <w:sz w:val="30"/>
        </w:rPr>
        <w:t>（二十一）强化节能标准与相关政策有效衔接。</w:t>
      </w:r>
      <w:r>
        <w:rPr>
          <w:rStyle w:val="DefaultParagraphFont"/>
          <w:rFonts w:ascii="AQJWBH+·ÂËÎ" w:hAnsi="AQJWBH+·ÂËÎ" w:eastAsiaTheme="minorHAnsi" w:cs="AQJWBH+·ÂËÎ"/>
          <w:color w:val="000000"/>
          <w:spacing w:val="0"/>
          <w:sz w:val="30"/>
        </w:rPr>
        <w:t>国家发展改革</w:t>
      </w:r>
    </w:p>
    <w:p>
      <w:pPr>
        <w:pStyle w:val="Normal8"/>
        <w:framePr w:w="10005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委、国务院有关部门制定相关政策、履行职能时应优先采用节能标</w:t>
      </w:r>
    </w:p>
    <w:p>
      <w:pPr>
        <w:pStyle w:val="Normal8"/>
        <w:framePr w:w="10005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准，节能强制性标准与相关政策有效衔接，为实施固定资产投资项</w:t>
      </w:r>
    </w:p>
    <w:p>
      <w:pPr>
        <w:pStyle w:val="Normal8"/>
        <w:framePr w:w="10005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目节能审查制度、能效标识制度、节能产品政府采购制度、差别电</w:t>
      </w:r>
    </w:p>
    <w:p>
      <w:pPr>
        <w:pStyle w:val="Normal8"/>
        <w:framePr w:w="10005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价、惩罚性电价等政策措施提供标准支撑。推动能源管理体系、系</w:t>
      </w:r>
    </w:p>
    <w:p>
      <w:pPr>
        <w:pStyle w:val="Normal8"/>
        <w:framePr w:w="10005" w:x="1616" w:y="858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统经济运行、能量平衡测试、能耗监测、节能量评估、能源绩效评</w:t>
      </w:r>
    </w:p>
    <w:p>
      <w:pPr>
        <w:pStyle w:val="Normal8"/>
        <w:framePr w:w="10005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估等节能推荐性标准在重点用能单位“百千万”行动和节能自愿活</w:t>
      </w:r>
    </w:p>
    <w:p>
      <w:pPr>
        <w:pStyle w:val="Normal8"/>
        <w:framePr w:w="10005" w:x="1616" w:y="858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0"/>
          <w:sz w:val="30"/>
        </w:rPr>
        <w:t>动中的应用。</w:t>
      </w:r>
    </w:p>
    <w:p>
      <w:pPr>
        <w:pStyle w:val="Normal8"/>
        <w:framePr w:w="10350" w:x="1616" w:y="13293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EMLTG+¿¬Ìå" w:hAnsi="AEMLTG+¿¬Ìå" w:eastAsiaTheme="minorHAnsi" w:cs="AEMLTG+¿¬Ìå"/>
          <w:color w:val="000000"/>
          <w:spacing w:val="-1"/>
          <w:sz w:val="30"/>
        </w:rPr>
        <w:t>（二十二）加大节能标准经费支持力度。</w:t>
      </w:r>
      <w:r>
        <w:rPr>
          <w:rStyle w:val="DefaultParagraphFont"/>
          <w:rFonts w:ascii="AQJWBH+·ÂËÎ" w:hAnsi="AQJWBH+·ÂËÎ" w:eastAsiaTheme="minorHAnsi" w:cs="AQJWBH+·ÂËÎ"/>
          <w:color w:val="000000"/>
          <w:spacing w:val="0"/>
          <w:sz w:val="30"/>
        </w:rPr>
        <w:t>鼓励地方根据工作实</w:t>
      </w:r>
    </w:p>
    <w:p>
      <w:pPr>
        <w:pStyle w:val="Normal8"/>
        <w:framePr w:w="10350" w:x="1616" w:y="1329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6"/>
          <w:sz w:val="30"/>
        </w:rPr>
        <w:t>际需要统筹安排节能标准化工作经费，用于节能标准研究、制修订、</w:t>
      </w:r>
    </w:p>
    <w:p>
      <w:pPr>
        <w:pStyle w:val="Normal8"/>
        <w:framePr w:w="10350" w:x="1616" w:y="1329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QJWB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QJWBH+·ÂËÎ" w:hAnsi="AQJWBH+·ÂËÎ" w:eastAsiaTheme="minorHAnsi" w:cs="AQJWBH+·ÂËÎ"/>
          <w:color w:val="000000"/>
          <w:spacing w:val="-1"/>
          <w:sz w:val="30"/>
        </w:rPr>
        <w:t>宣贯、实施效果评估、监督检查、人才培养等工作。鼓励、引导社</w:t>
      </w:r>
    </w:p>
    <w:p>
      <w:pPr>
        <w:pStyle w:val="Normal8"/>
        <w:framePr w:w="10350" w:x="1616" w:y="13293"/>
        <w:widowControl w:val="0"/>
        <w:autoSpaceDE w:val="0"/>
        <w:autoSpaceDN w:val="0"/>
        <w:spacing w:before="0" w:after="0" w:line="569" w:lineRule="exact"/>
        <w:ind w:left="4277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9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10005" w:x="16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0"/>
          <w:sz w:val="30"/>
        </w:rPr>
        <w:t>会各界加大投入，支持节能标准创新和节能标准化服务业发展。</w:t>
      </w:r>
    </w:p>
    <w:p>
      <w:pPr>
        <w:pStyle w:val="Normal9"/>
        <w:framePr w:w="10005" w:x="1616" w:y="2119"/>
        <w:widowControl w:val="0"/>
        <w:autoSpaceDE w:val="0"/>
        <w:autoSpaceDN w:val="0"/>
        <w:spacing w:before="0" w:after="0" w:line="588" w:lineRule="exact"/>
        <w:ind w:left="60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JBCWU+¿¬Ìå" w:hAnsi="OJBCWU+¿¬Ìå" w:eastAsiaTheme="minorHAnsi" w:cs="OJBCWU+¿¬Ìå"/>
          <w:color w:val="000000"/>
          <w:spacing w:val="-1"/>
          <w:sz w:val="30"/>
        </w:rPr>
        <w:t>（二十三）建立节能标准化工作奖惩制度。</w:t>
      </w:r>
      <w:r>
        <w:rPr>
          <w:rStyle w:val="DefaultParagraphFont"/>
          <w:rFonts w:ascii="JFDBOL+·ÂËÎ" w:hAnsi="JFDBOL+·ÂËÎ" w:eastAsiaTheme="minorHAnsi" w:cs="JFDBOL+·ÂËÎ"/>
          <w:color w:val="000000"/>
          <w:spacing w:val="0"/>
          <w:sz w:val="30"/>
        </w:rPr>
        <w:t>国家将节能标准化</w:t>
      </w:r>
    </w:p>
    <w:p>
      <w:pPr>
        <w:pStyle w:val="Normal9"/>
        <w:framePr w:w="10005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-1"/>
          <w:sz w:val="30"/>
        </w:rPr>
        <w:t>工作纳入对地方及重点用能单位节能目标责任考核，对推动节能标</w:t>
      </w:r>
    </w:p>
    <w:p>
      <w:pPr>
        <w:pStyle w:val="Normal9"/>
        <w:framePr w:w="10005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-1"/>
          <w:sz w:val="30"/>
        </w:rPr>
        <w:t>准化工作成绩突出、效果显著、发挥示范效应的单位和个人进行表</w:t>
      </w:r>
    </w:p>
    <w:p>
      <w:pPr>
        <w:pStyle w:val="Normal9"/>
        <w:framePr w:w="10005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-1"/>
          <w:sz w:val="30"/>
        </w:rPr>
        <w:t>彰或奖励，优先考虑节能标准化示范项目创建单位。对在推动节能</w:t>
      </w:r>
    </w:p>
    <w:p>
      <w:pPr>
        <w:pStyle w:val="Normal9"/>
        <w:framePr w:w="10005" w:x="1616" w:y="2119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-1"/>
          <w:sz w:val="30"/>
        </w:rPr>
        <w:t>标准化工作中存在弄虚作假的用能单位，纳入全国统一的信用信息</w:t>
      </w:r>
    </w:p>
    <w:p>
      <w:pPr>
        <w:pStyle w:val="Normal9"/>
        <w:framePr w:w="10005" w:x="1616" w:y="21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0"/>
          <w:sz w:val="30"/>
        </w:rPr>
        <w:t>共享交互平台。</w:t>
      </w:r>
    </w:p>
    <w:p>
      <w:pPr>
        <w:pStyle w:val="Normal9"/>
        <w:framePr w:w="10006" w:x="1616" w:y="6236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JBCWU+¿¬Ìå" w:hAnsi="OJBCWU+¿¬Ìå" w:eastAsiaTheme="minorHAnsi" w:cs="OJBCWU+¿¬Ìå"/>
          <w:color w:val="000000"/>
          <w:spacing w:val="-1"/>
          <w:sz w:val="30"/>
        </w:rPr>
        <w:t>（二十四）加强节能标准化人才培养。</w:t>
      </w:r>
      <w:r>
        <w:rPr>
          <w:rStyle w:val="DefaultParagraphFont"/>
          <w:rFonts w:ascii="JFDBOL+·ÂËÎ" w:hAnsi="JFDBOL+·ÂËÎ" w:eastAsiaTheme="minorHAnsi" w:cs="JFDBOL+·ÂËÎ"/>
          <w:color w:val="000000"/>
          <w:spacing w:val="0"/>
          <w:sz w:val="30"/>
        </w:rPr>
        <w:t>实施节能标准化人才培</w:t>
      </w:r>
    </w:p>
    <w:p>
      <w:pPr>
        <w:pStyle w:val="Normal9"/>
        <w:framePr w:w="10006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-1"/>
          <w:sz w:val="30"/>
        </w:rPr>
        <w:t>养工程，开发培训教材，加强对节能管理人员和专业技术人员的培</w:t>
      </w:r>
    </w:p>
    <w:p>
      <w:pPr>
        <w:pStyle w:val="Normal9"/>
        <w:framePr w:w="10006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10"/>
          <w:sz w:val="30"/>
        </w:rPr>
        <w:t>训工作，提升各类用能单位特别是中小微企业运用节能标准的能</w:t>
      </w:r>
    </w:p>
    <w:p>
      <w:pPr>
        <w:pStyle w:val="Normal9"/>
        <w:framePr w:w="10006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10"/>
          <w:sz w:val="30"/>
        </w:rPr>
        <w:t>力。鼓励和培养节能标准化人才担任节能国际标准化技术组织职</w:t>
      </w:r>
    </w:p>
    <w:p>
      <w:pPr>
        <w:pStyle w:val="Normal9"/>
        <w:framePr w:w="10006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-1"/>
          <w:sz w:val="30"/>
        </w:rPr>
        <w:t>务，增强节能标准国际话语权。建立节能标准化专家库，发挥专家</w:t>
      </w:r>
    </w:p>
    <w:p>
      <w:pPr>
        <w:pStyle w:val="Normal9"/>
        <w:framePr w:w="10006" w:x="1616" w:y="62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0"/>
          <w:sz w:val="30"/>
        </w:rPr>
        <w:t>在节能标准立项、起草、审查、宣贯以及咨询服务等方面的作用。</w:t>
      </w:r>
    </w:p>
    <w:p>
      <w:pPr>
        <w:pStyle w:val="Normal9"/>
        <w:framePr w:w="10006" w:x="1616" w:y="6236"/>
        <w:widowControl w:val="0"/>
        <w:autoSpaceDE w:val="0"/>
        <w:autoSpaceDN w:val="0"/>
        <w:spacing w:before="0" w:after="0" w:line="588" w:lineRule="exact"/>
        <w:ind w:left="600" w:right="0" w:firstLine="0"/>
        <w:jc w:val="left"/>
        <w:rPr>
          <w:rStyle w:val="DefaultParagraphFont"/>
          <w:rFonts w:ascii="JFDBOL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JFDBOL+·ÂËÎ" w:hAnsi="JFDBOL+·ÂËÎ" w:eastAsiaTheme="minorHAnsi" w:cs="JFDBOL+·ÂËÎ"/>
          <w:color w:val="000000"/>
          <w:spacing w:val="0"/>
          <w:sz w:val="30"/>
        </w:rPr>
        <w:t>附件：节能标准体系框架</w:t>
      </w:r>
    </w:p>
    <w:p>
      <w:pPr>
        <w:pStyle w:val="Normal9"/>
        <w:framePr w:w="600" w:x="5833" w:y="15082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10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1050" w:x="16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JEQEJ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QJEQEJ+ºÚÌå" w:hAnsi="QJEQEJ+ºÚÌå" w:eastAsiaTheme="minorHAnsi" w:cs="QJEQEJ+ºÚÌå"/>
          <w:color w:val="000000"/>
          <w:spacing w:val="0"/>
          <w:sz w:val="30"/>
        </w:rPr>
        <w:t>附件</w:t>
      </w:r>
    </w:p>
    <w:p>
      <w:pPr>
        <w:pStyle w:val="Normal10"/>
        <w:framePr w:w="9289" w:x="2216" w:y="3295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-1"/>
          <w:sz w:val="30"/>
        </w:rPr>
        <w:t>按照节能过程环节，节能标准体系包括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EVNAVU+·ÂËÎ" w:eastAsiaTheme="minorHAnsi" w:hAnsiTheme="minorHAnsi" w:cstheme="minorBidi"/>
          <w:color w:val="000000"/>
          <w:spacing w:val="73"/>
          <w:sz w:val="30"/>
        </w:rPr>
        <w:t>7</w:t>
      </w:r>
      <w:r>
        <w:rPr>
          <w:rStyle w:val="DefaultParagraphFont"/>
          <w:rFonts w:ascii="APHKKH+·ÂËÎ" w:hAnsi="APHKKH+·ÂËÎ" w:eastAsiaTheme="minorHAnsi" w:cs="APHKKH+·ÂËÎ"/>
          <w:color w:val="000000"/>
          <w:spacing w:val="-1"/>
          <w:sz w:val="30"/>
        </w:rPr>
        <w:t>个标准子体系，每个</w:t>
      </w:r>
    </w:p>
    <w:p>
      <w:pPr>
        <w:pStyle w:val="Normal10"/>
        <w:framePr w:w="8281" w:x="1616" w:y="3883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0"/>
          <w:sz w:val="30"/>
        </w:rPr>
        <w:t>标准子体系又包括若干类别，节能标准体系框架如图。</w:t>
      </w:r>
    </w:p>
    <w:p>
      <w:pPr>
        <w:pStyle w:val="Normal10"/>
        <w:framePr w:w="8281" w:x="1616" w:y="3883"/>
        <w:widowControl w:val="0"/>
        <w:autoSpaceDE w:val="0"/>
        <w:autoSpaceDN w:val="0"/>
        <w:spacing w:before="0" w:after="0" w:line="588" w:lineRule="exact"/>
        <w:ind w:left="600" w:right="0" w:firstLine="0"/>
        <w:jc w:val="left"/>
        <w:rPr>
          <w:rStyle w:val="DefaultParagraphFont"/>
          <w:rFonts w:ascii="QJEQEJ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DFHOQ+ºÚÌå" w:eastAsiaTheme="minorHAnsi" w:hAnsiTheme="minorHAnsi" w:cstheme="minorBidi"/>
          <w:color w:val="000000"/>
          <w:spacing w:val="0"/>
          <w:sz w:val="30"/>
        </w:rPr>
        <w:t>0</w:t>
      </w:r>
      <w:r>
        <w:rPr>
          <w:rStyle w:val="DefaultParagraphFont"/>
          <w:rFonts w:ascii="EDFHOQ+ºÚÌå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QJEQEJ+ºÚÌå" w:hAnsi="QJEQEJ+ºÚÌå" w:eastAsiaTheme="minorHAnsi" w:cs="QJEQEJ+ºÚÌå"/>
          <w:color w:val="000000"/>
          <w:spacing w:val="0"/>
          <w:sz w:val="30"/>
        </w:rPr>
        <w:t>基础共性标准子体系</w:t>
      </w:r>
    </w:p>
    <w:p>
      <w:pPr>
        <w:pStyle w:val="Normal10"/>
        <w:framePr w:w="9975" w:x="1616" w:y="5060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-1"/>
          <w:sz w:val="30"/>
        </w:rPr>
        <w:t>基础共性标准在节能工作中广泛应用，是其他节能标准的依据</w:t>
      </w:r>
    </w:p>
    <w:p>
      <w:pPr>
        <w:pStyle w:val="Normal10"/>
        <w:framePr w:w="9975" w:x="1616" w:y="50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0"/>
          <w:sz w:val="30"/>
        </w:rPr>
        <w:t>和基础。</w:t>
      </w:r>
    </w:p>
    <w:p>
      <w:pPr>
        <w:pStyle w:val="Normal10"/>
        <w:framePr w:w="2850" w:x="2216" w:y="6236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QJEQEJ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DFHOQ+ºÚÌå" w:eastAsiaTheme="minorHAnsi" w:hAnsiTheme="minorHAnsi" w:cstheme="minorBidi"/>
          <w:color w:val="000000"/>
          <w:spacing w:val="0"/>
          <w:sz w:val="30"/>
        </w:rPr>
        <w:t>1</w:t>
      </w:r>
      <w:r>
        <w:rPr>
          <w:rStyle w:val="DefaultParagraphFont"/>
          <w:rFonts w:ascii="EDFHOQ+ºÚÌå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QJEQEJ+ºÚÌå" w:hAnsi="QJEQEJ+ºÚÌå" w:eastAsiaTheme="minorHAnsi" w:cs="QJEQEJ+ºÚÌå"/>
          <w:color w:val="000000"/>
          <w:spacing w:val="0"/>
          <w:sz w:val="30"/>
        </w:rPr>
        <w:t>目标标准子体系</w:t>
      </w:r>
    </w:p>
    <w:p>
      <w:pPr>
        <w:pStyle w:val="Normal10"/>
        <w:framePr w:w="10005" w:x="1616" w:y="6824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-1"/>
          <w:sz w:val="30"/>
        </w:rPr>
        <w:t>包括能耗限额标准、能效标准。其中，能耗限额标准是针对工</w:t>
      </w:r>
    </w:p>
    <w:p>
      <w:pPr>
        <w:pStyle w:val="Normal10"/>
        <w:framePr w:w="10005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-1"/>
          <w:sz w:val="30"/>
        </w:rPr>
        <w:t>业、建筑、交通、公共机构、商贸、农业等重要领域提出的节能要</w:t>
      </w:r>
    </w:p>
    <w:p>
      <w:pPr>
        <w:pStyle w:val="Normal10"/>
        <w:framePr w:w="10005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-1"/>
          <w:sz w:val="30"/>
        </w:rPr>
        <w:t>求，作为实施淘汰落后产能、固定资产投资项目节能审查制度、节</w:t>
      </w:r>
    </w:p>
    <w:p>
      <w:pPr>
        <w:pStyle w:val="Normal10"/>
        <w:framePr w:w="10005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-1"/>
          <w:sz w:val="30"/>
        </w:rPr>
        <w:t>能目标责任制度和节能考核评价制度等的技术依据；能效标准是针</w:t>
      </w:r>
    </w:p>
    <w:p>
      <w:pPr>
        <w:pStyle w:val="Normal10"/>
        <w:framePr w:w="10005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-1"/>
          <w:sz w:val="30"/>
        </w:rPr>
        <w:t>对家用耗能器具、商用设备、工业设备、照明、电子信息、交通工</w:t>
      </w:r>
    </w:p>
    <w:p>
      <w:pPr>
        <w:pStyle w:val="Normal10"/>
        <w:framePr w:w="10005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0"/>
          <w:sz w:val="30"/>
        </w:rPr>
        <w:t>具等终端用能产品提出的节能要求，作为实施节能产品认证制度、</w:t>
      </w:r>
    </w:p>
    <w:p>
      <w:pPr>
        <w:pStyle w:val="Normal10"/>
        <w:framePr w:w="10005" w:x="1616" w:y="682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0"/>
          <w:sz w:val="30"/>
        </w:rPr>
        <w:t>能效标识制度、淘汰落后产品和设备制度等的技术依据。</w:t>
      </w:r>
    </w:p>
    <w:p>
      <w:pPr>
        <w:pStyle w:val="Normal10"/>
        <w:framePr w:w="10005" w:x="1616" w:y="6824"/>
        <w:widowControl w:val="0"/>
        <w:autoSpaceDE w:val="0"/>
        <w:autoSpaceDN w:val="0"/>
        <w:spacing w:before="0" w:after="0" w:line="588" w:lineRule="exact"/>
        <w:ind w:left="600" w:right="0" w:firstLine="0"/>
        <w:jc w:val="left"/>
        <w:rPr>
          <w:rStyle w:val="DefaultParagraphFont"/>
          <w:rFonts w:ascii="QJEQEJ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DFHOQ+ºÚÌå" w:eastAsiaTheme="minorHAnsi" w:hAnsiTheme="minorHAnsi" w:cstheme="minorBidi"/>
          <w:color w:val="000000"/>
          <w:spacing w:val="0"/>
          <w:sz w:val="30"/>
        </w:rPr>
        <w:t>2</w:t>
      </w:r>
      <w:r>
        <w:rPr>
          <w:rStyle w:val="DefaultParagraphFont"/>
          <w:rFonts w:ascii="EDFHOQ+ºÚÌå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QJEQEJ+ºÚÌå" w:hAnsi="QJEQEJ+ºÚÌå" w:eastAsiaTheme="minorHAnsi" w:cs="QJEQEJ+ºÚÌå"/>
          <w:color w:val="000000"/>
          <w:spacing w:val="0"/>
          <w:sz w:val="30"/>
        </w:rPr>
        <w:t>设计标准子体系</w:t>
      </w:r>
    </w:p>
    <w:p>
      <w:pPr>
        <w:pStyle w:val="Normal10"/>
        <w:framePr w:w="10005" w:x="1616" w:y="11529"/>
        <w:widowControl w:val="0"/>
        <w:autoSpaceDE w:val="0"/>
        <w:autoSpaceDN w:val="0"/>
        <w:spacing w:before="0" w:after="0" w:line="300" w:lineRule="exact"/>
        <w:ind w:left="554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1"/>
          <w:sz w:val="30"/>
        </w:rPr>
        <w:t>包括规划设计和源头控制等方面的相关标准。其中，规划设计</w:t>
      </w:r>
    </w:p>
    <w:p>
      <w:pPr>
        <w:pStyle w:val="Normal10"/>
        <w:framePr w:w="10005" w:x="1616" w:y="1152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-1"/>
          <w:sz w:val="30"/>
        </w:rPr>
        <w:t>标准涉及生产过程、用能系统、建设等的节能规划和设计要求；源</w:t>
      </w:r>
    </w:p>
    <w:p>
      <w:pPr>
        <w:pStyle w:val="Normal10"/>
        <w:framePr w:w="10005" w:x="1616" w:y="1152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0"/>
          <w:sz w:val="30"/>
        </w:rPr>
        <w:t>头控制标准涉及用能预算、项目前评估等相关标准。</w:t>
      </w:r>
    </w:p>
    <w:p>
      <w:pPr>
        <w:pStyle w:val="Normal10"/>
        <w:framePr w:w="10005" w:x="1616" w:y="11529"/>
        <w:widowControl w:val="0"/>
        <w:autoSpaceDE w:val="0"/>
        <w:autoSpaceDN w:val="0"/>
        <w:spacing w:before="0" w:after="0" w:line="588" w:lineRule="exact"/>
        <w:ind w:left="600" w:right="0" w:firstLine="0"/>
        <w:jc w:val="left"/>
        <w:rPr>
          <w:rStyle w:val="DefaultParagraphFont"/>
          <w:rFonts w:ascii="QJEQEJ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EDFHOQ+ºÚÌå" w:eastAsiaTheme="minorHAnsi" w:hAnsiTheme="minorHAnsi" w:cstheme="minorBidi"/>
          <w:color w:val="000000"/>
          <w:spacing w:val="0"/>
          <w:sz w:val="30"/>
        </w:rPr>
        <w:t>3</w:t>
      </w:r>
      <w:r>
        <w:rPr>
          <w:rStyle w:val="DefaultParagraphFont"/>
          <w:rFonts w:ascii="EDFHOQ+ºÚÌå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QJEQEJ+ºÚÌå" w:hAnsi="QJEQEJ+ºÚÌå" w:eastAsiaTheme="minorHAnsi" w:cs="QJEQEJ+ºÚÌå"/>
          <w:color w:val="000000"/>
          <w:spacing w:val="0"/>
          <w:sz w:val="30"/>
        </w:rPr>
        <w:t>建设标准子体系</w:t>
      </w:r>
    </w:p>
    <w:p>
      <w:pPr>
        <w:pStyle w:val="Normal10"/>
        <w:framePr w:w="9978" w:x="1616" w:y="13881"/>
        <w:widowControl w:val="0"/>
        <w:autoSpaceDE w:val="0"/>
        <w:autoSpaceDN w:val="0"/>
        <w:spacing w:before="0" w:after="0" w:line="300" w:lineRule="exact"/>
        <w:ind w:left="554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1"/>
          <w:sz w:val="30"/>
        </w:rPr>
        <w:t>包括节能施工、验收等方面的标准，主要涉及建设项目及工程</w:t>
      </w:r>
    </w:p>
    <w:p>
      <w:pPr>
        <w:pStyle w:val="Normal10"/>
        <w:framePr w:w="9978" w:x="1616" w:y="1388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PHKKH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APHKKH+·ÂËÎ" w:hAnsi="APHKKH+·ÂËÎ" w:eastAsiaTheme="minorHAnsi" w:cs="APHKKH+·ÂËÎ"/>
          <w:color w:val="000000"/>
          <w:spacing w:val="0"/>
          <w:sz w:val="30"/>
        </w:rPr>
        <w:t>的相关节能要求。</w:t>
      </w:r>
    </w:p>
    <w:p>
      <w:pPr>
        <w:pStyle w:val="Normal10"/>
        <w:framePr w:w="600" w:x="5838" w:y="15082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-5"/>
          <w:sz w:val="24"/>
        </w:rPr>
        <w:t>11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180pt;height:23.9pt;margin-top:130.15pt;margin-left:217.6pt;mso-position-horizontal-relative:page;mso-position-vertical-relative:page;position:absolute;z-index:-251657216">
            <v:imagedata r:id="rId5" o:title=""/>
          </v:shape>
        </w:pic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2850" w:x="2216" w:y="2119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RIJIF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VFPVB+ºÚÌå" w:eastAsiaTheme="minorHAnsi" w:hAnsiTheme="minorHAnsi" w:cstheme="minorBidi"/>
          <w:color w:val="000000"/>
          <w:spacing w:val="0"/>
          <w:sz w:val="30"/>
        </w:rPr>
        <w:t>4</w:t>
      </w:r>
      <w:r>
        <w:rPr>
          <w:rStyle w:val="DefaultParagraphFont"/>
          <w:rFonts w:ascii="FVFPVB+ºÚÌå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RIJIF+ºÚÌå" w:hAnsi="HRIJIF+ºÚÌå" w:eastAsiaTheme="minorHAnsi" w:cs="HRIJIF+ºÚÌå"/>
          <w:color w:val="000000"/>
          <w:spacing w:val="0"/>
          <w:sz w:val="30"/>
        </w:rPr>
        <w:t>运行标准子体系</w:t>
      </w:r>
    </w:p>
    <w:p>
      <w:pPr>
        <w:pStyle w:val="Normal11"/>
        <w:framePr w:w="10005" w:x="1616" w:y="2707"/>
        <w:widowControl w:val="0"/>
        <w:autoSpaceDE w:val="0"/>
        <w:autoSpaceDN w:val="0"/>
        <w:spacing w:before="0" w:after="0" w:line="300" w:lineRule="exact"/>
        <w:ind w:left="571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0"/>
          <w:sz w:val="30"/>
        </w:rPr>
        <w:t>包括节能工艺、技术、高效产品、设备和系统等相关的经济运</w:t>
      </w:r>
    </w:p>
    <w:p>
      <w:pPr>
        <w:pStyle w:val="Normal11"/>
        <w:framePr w:w="10005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行、维护等标准。通过科学管理、运行工况调节或技术改进，能源</w:t>
      </w:r>
    </w:p>
    <w:p>
      <w:pPr>
        <w:pStyle w:val="Normal11"/>
        <w:framePr w:w="10005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供需达到合理匹配，实现能耗低和经济性好的工作状态，提高系统</w:t>
      </w:r>
    </w:p>
    <w:p>
      <w:pPr>
        <w:pStyle w:val="Normal11"/>
        <w:framePr w:w="10005" w:x="1616" w:y="27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0"/>
          <w:sz w:val="30"/>
        </w:rPr>
        <w:t>运行效率，实现节能效益。</w:t>
      </w:r>
    </w:p>
    <w:p>
      <w:pPr>
        <w:pStyle w:val="Normal11"/>
        <w:framePr w:w="2850" w:x="2216" w:y="5060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RIJIF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VFPVB+ºÚÌå" w:eastAsiaTheme="minorHAnsi" w:hAnsiTheme="minorHAnsi" w:cstheme="minorBidi"/>
          <w:color w:val="000000"/>
          <w:spacing w:val="0"/>
          <w:sz w:val="30"/>
        </w:rPr>
        <w:t>5</w:t>
      </w:r>
      <w:r>
        <w:rPr>
          <w:rStyle w:val="DefaultParagraphFont"/>
          <w:rFonts w:ascii="FVFPVB+ºÚÌå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RIJIF+ºÚÌå" w:hAnsi="HRIJIF+ºÚÌå" w:eastAsiaTheme="minorHAnsi" w:cs="HRIJIF+ºÚÌå"/>
          <w:color w:val="000000"/>
          <w:spacing w:val="0"/>
          <w:sz w:val="30"/>
        </w:rPr>
        <w:t>评估标准子体系</w:t>
      </w:r>
    </w:p>
    <w:p>
      <w:pPr>
        <w:pStyle w:val="Normal11"/>
        <w:framePr w:w="10006" w:x="1616" w:y="5648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0"/>
          <w:sz w:val="30"/>
        </w:rPr>
        <w:t>包括计量和检测、分析和计算、能效评估方面的标准。其中，</w:t>
      </w:r>
    </w:p>
    <w:p>
      <w:pPr>
        <w:pStyle w:val="Normal11"/>
        <w:framePr w:w="10006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计量和检测标准涉及能源计量器具配备和管理、能源能效检测、能</w:t>
      </w:r>
    </w:p>
    <w:p>
      <w:pPr>
        <w:pStyle w:val="Normal11"/>
        <w:framePr w:w="10006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量平衡与测试、节能监测等标准，对用能单位的能源利用状况进行</w:t>
      </w:r>
    </w:p>
    <w:p>
      <w:pPr>
        <w:pStyle w:val="Normal11"/>
        <w:framePr w:w="10006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检测、测试和评价；分析和计算标准涉及合理用能、能源审计、节</w:t>
      </w:r>
    </w:p>
    <w:p>
      <w:pPr>
        <w:pStyle w:val="Normal11"/>
        <w:framePr w:w="10006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能计算等标准；能效评估标准是衡量节能措施实施效果和节能收益</w:t>
      </w:r>
    </w:p>
    <w:p>
      <w:pPr>
        <w:pStyle w:val="Normal11"/>
        <w:framePr w:w="10006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的重要尺度，涉及过程评估、节能量评估、能源绩效评价、节约型</w:t>
      </w:r>
    </w:p>
    <w:p>
      <w:pPr>
        <w:pStyle w:val="Normal11"/>
        <w:framePr w:w="10006" w:x="1616" w:y="56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0"/>
          <w:sz w:val="30"/>
        </w:rPr>
        <w:t>组织评价等标准。</w:t>
      </w:r>
    </w:p>
    <w:p>
      <w:pPr>
        <w:pStyle w:val="Normal11"/>
        <w:framePr w:w="2850" w:x="2216" w:y="9764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HRIJIF+ºÚÌå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FVFPVB+ºÚÌå" w:eastAsiaTheme="minorHAnsi" w:hAnsiTheme="minorHAnsi" w:cstheme="minorBidi"/>
          <w:color w:val="000000"/>
          <w:spacing w:val="0"/>
          <w:sz w:val="30"/>
        </w:rPr>
        <w:t>6</w:t>
      </w:r>
      <w:r>
        <w:rPr>
          <w:rStyle w:val="DefaultParagraphFont"/>
          <w:rFonts w:ascii="FVFPVB+ºÚÌå" w:eastAsiaTheme="minorHAnsi" w:hAnsiTheme="minorHAnsi" w:cstheme="minorBidi"/>
          <w:color w:val="000000"/>
          <w:spacing w:val="0"/>
          <w:sz w:val="30"/>
        </w:rPr>
        <w:t xml:space="preserve"> </w:t>
      </w:r>
      <w:r>
        <w:rPr>
          <w:rStyle w:val="DefaultParagraphFont"/>
          <w:rFonts w:ascii="HRIJIF+ºÚÌå" w:hAnsi="HRIJIF+ºÚÌå" w:eastAsiaTheme="minorHAnsi" w:cs="HRIJIF+ºÚÌå"/>
          <w:color w:val="000000"/>
          <w:spacing w:val="0"/>
          <w:sz w:val="30"/>
        </w:rPr>
        <w:t>优化标准子体系</w:t>
      </w:r>
    </w:p>
    <w:p>
      <w:pPr>
        <w:pStyle w:val="Normal11"/>
        <w:framePr w:w="10005" w:x="1616" w:y="10352"/>
        <w:widowControl w:val="0"/>
        <w:autoSpaceDE w:val="0"/>
        <w:autoSpaceDN w:val="0"/>
        <w:spacing w:before="0" w:after="0" w:line="300" w:lineRule="exact"/>
        <w:ind w:left="571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0"/>
          <w:sz w:val="30"/>
        </w:rPr>
        <w:t>包括系统提升、节能服务、供需优化等方面的标准。其中，系</w:t>
      </w:r>
    </w:p>
    <w:p>
      <w:pPr>
        <w:pStyle w:val="Normal11"/>
        <w:framePr w:w="10005" w:x="1616" w:y="1035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统提升标准涉及能源管理体系、能量系统优化、能效对标、能源管</w:t>
      </w:r>
    </w:p>
    <w:p>
      <w:pPr>
        <w:pStyle w:val="Normal11"/>
        <w:framePr w:w="10005" w:x="1616" w:y="10352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控等标准，与国家节能重点工程标准需求密切相关；节能服务标准</w:t>
      </w:r>
    </w:p>
    <w:p>
      <w:pPr>
        <w:pStyle w:val="Normal11"/>
        <w:framePr w:w="10005" w:x="1616" w:y="1035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涉及合同能源管理、节能自愿性协议、节能融资等标准，是支撑节</w:t>
      </w:r>
    </w:p>
    <w:p>
      <w:pPr>
        <w:pStyle w:val="Normal11"/>
        <w:framePr w:w="10005" w:x="1616" w:y="1035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能市场化机制的技术标准；供需优化标准涉及余能利用、新能源和</w:t>
      </w:r>
    </w:p>
    <w:p>
      <w:pPr>
        <w:pStyle w:val="Normal11"/>
        <w:framePr w:w="10005" w:x="1616" w:y="1035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可再生能源利用、分布式能源、智慧能源等标准，通过能源供给方</w:t>
      </w:r>
    </w:p>
    <w:p>
      <w:pPr>
        <w:pStyle w:val="Normal11"/>
        <w:framePr w:w="10005" w:x="1616" w:y="1035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-1"/>
          <w:sz w:val="30"/>
        </w:rPr>
        <w:t>式多样化、智能化，加大余能利用，增加新能源和可再生能源在能</w:t>
      </w:r>
    </w:p>
    <w:p>
      <w:pPr>
        <w:pStyle w:val="Normal11"/>
        <w:framePr w:w="10005" w:x="1616" w:y="1035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DCGR+·ÂËÎ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ADCGR+·ÂËÎ" w:hAnsi="OADCGR+·ÂËÎ" w:eastAsiaTheme="minorHAnsi" w:cs="OADCGR+·ÂËÎ"/>
          <w:color w:val="000000"/>
          <w:spacing w:val="0"/>
          <w:sz w:val="30"/>
        </w:rPr>
        <w:t>源供给结构中的比例，减少化石能源消费。</w:t>
      </w:r>
    </w:p>
    <w:p>
      <w:pPr>
        <w:pStyle w:val="Normal11"/>
        <w:framePr w:w="600" w:x="5833" w:y="15082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12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2606" w:x="12188" w:y="3833"/>
        <w:widowControl w:val="0"/>
        <w:autoSpaceDE w:val="0"/>
        <w:autoSpaceDN w:val="0"/>
        <w:spacing w:before="0" w:after="0" w:line="34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35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35"/>
        </w:rPr>
        <w:t>节能标准体系</w:t>
      </w:r>
    </w:p>
    <w:p>
      <w:pPr>
        <w:pStyle w:val="Normal12"/>
        <w:framePr w:w="1471" w:x="3781" w:y="4913"/>
        <w:widowControl w:val="0"/>
        <w:autoSpaceDE w:val="0"/>
        <w:autoSpaceDN w:val="0"/>
        <w:spacing w:before="0" w:after="0" w:line="217" w:lineRule="exact"/>
        <w:ind w:left="43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2"/>
          <w:sz w:val="22"/>
        </w:rPr>
        <w:t>0.基础共性</w:t>
      </w:r>
    </w:p>
    <w:p>
      <w:pPr>
        <w:pStyle w:val="Normal12"/>
        <w:framePr w:w="1471" w:x="3781" w:y="4913"/>
        <w:widowControl w:val="0"/>
        <w:autoSpaceDE w:val="0"/>
        <w:autoSpaceDN w:val="0"/>
        <w:spacing w:before="0" w:after="0" w:line="1286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3"/>
          <w:sz w:val="22"/>
        </w:rPr>
        <w:t>1.目标</w:t>
      </w:r>
    </w:p>
    <w:p>
      <w:pPr>
        <w:pStyle w:val="Normal12"/>
        <w:framePr w:w="994" w:x="7450" w:y="6199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3"/>
          <w:sz w:val="22"/>
        </w:rPr>
        <w:t>2.设计</w:t>
      </w:r>
    </w:p>
    <w:p>
      <w:pPr>
        <w:pStyle w:val="Normal12"/>
        <w:framePr w:w="994" w:x="9284" w:y="6199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3"/>
          <w:sz w:val="22"/>
        </w:rPr>
        <w:t>3.建设</w:t>
      </w:r>
    </w:p>
    <w:p>
      <w:pPr>
        <w:pStyle w:val="Normal12"/>
        <w:framePr w:w="994" w:x="11350" w:y="6199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3"/>
          <w:sz w:val="22"/>
        </w:rPr>
        <w:t>4.运行</w:t>
      </w:r>
    </w:p>
    <w:p>
      <w:pPr>
        <w:pStyle w:val="Normal12"/>
        <w:framePr w:w="994" w:x="14918" w:y="6199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3"/>
          <w:sz w:val="22"/>
        </w:rPr>
        <w:t>5.评估</w:t>
      </w:r>
    </w:p>
    <w:p>
      <w:pPr>
        <w:pStyle w:val="Normal12"/>
        <w:framePr w:w="994" w:x="19714" w:y="6199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3"/>
          <w:sz w:val="22"/>
        </w:rPr>
        <w:t>6.优化</w:t>
      </w:r>
    </w:p>
    <w:p>
      <w:pPr>
        <w:pStyle w:val="Normal12"/>
        <w:framePr w:w="764" w:x="2525" w:y="7354"/>
        <w:widowControl w:val="0"/>
        <w:autoSpaceDE w:val="0"/>
        <w:autoSpaceDN w:val="0"/>
        <w:spacing w:before="0" w:after="0" w:line="217" w:lineRule="exact"/>
        <w:ind w:left="43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1.1</w:t>
      </w:r>
    </w:p>
    <w:p>
      <w:pPr>
        <w:pStyle w:val="Normal12"/>
        <w:framePr w:w="764" w:x="2525" w:y="7354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能耗</w:t>
      </w:r>
    </w:p>
    <w:p>
      <w:pPr>
        <w:pStyle w:val="Normal12"/>
        <w:framePr w:w="764" w:x="2525" w:y="7354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限额</w:t>
      </w:r>
    </w:p>
    <w:p>
      <w:pPr>
        <w:pStyle w:val="Normal12"/>
        <w:framePr w:w="764" w:x="7089" w:y="7383"/>
        <w:widowControl w:val="0"/>
        <w:autoSpaceDE w:val="0"/>
        <w:autoSpaceDN w:val="0"/>
        <w:spacing w:before="0" w:after="0" w:line="217" w:lineRule="exact"/>
        <w:ind w:left="43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2.1</w:t>
      </w:r>
    </w:p>
    <w:p>
      <w:pPr>
        <w:pStyle w:val="Normal12"/>
        <w:framePr w:w="764" w:x="7089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规划</w:t>
      </w:r>
    </w:p>
    <w:p>
      <w:pPr>
        <w:pStyle w:val="Normal12"/>
        <w:framePr w:w="764" w:x="7089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设计</w:t>
      </w:r>
    </w:p>
    <w:p>
      <w:pPr>
        <w:pStyle w:val="Normal12"/>
        <w:framePr w:w="764" w:x="8028" w:y="7383"/>
        <w:widowControl w:val="0"/>
        <w:autoSpaceDE w:val="0"/>
        <w:autoSpaceDN w:val="0"/>
        <w:spacing w:before="0" w:after="0" w:line="217" w:lineRule="exact"/>
        <w:ind w:left="43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2.2</w:t>
      </w:r>
    </w:p>
    <w:p>
      <w:pPr>
        <w:pStyle w:val="Normal12"/>
        <w:framePr w:w="764" w:x="8028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源头</w:t>
      </w:r>
    </w:p>
    <w:p>
      <w:pPr>
        <w:pStyle w:val="Normal12"/>
        <w:framePr w:w="764" w:x="8028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控制</w:t>
      </w:r>
    </w:p>
    <w:p>
      <w:pPr>
        <w:pStyle w:val="Normal12"/>
        <w:framePr w:w="764" w:x="10960" w:y="7383"/>
        <w:widowControl w:val="0"/>
        <w:autoSpaceDE w:val="0"/>
        <w:autoSpaceDN w:val="0"/>
        <w:spacing w:before="0" w:after="0" w:line="217" w:lineRule="exact"/>
        <w:ind w:left="43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4.1</w:t>
      </w:r>
    </w:p>
    <w:p>
      <w:pPr>
        <w:pStyle w:val="Normal12"/>
        <w:framePr w:w="764" w:x="10960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技术</w:t>
      </w:r>
    </w:p>
    <w:p>
      <w:pPr>
        <w:pStyle w:val="Normal12"/>
        <w:framePr w:w="764" w:x="10960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改造</w:t>
      </w:r>
    </w:p>
    <w:p>
      <w:pPr>
        <w:pStyle w:val="Normal12"/>
        <w:framePr w:w="764" w:x="12159" w:y="7383"/>
        <w:widowControl w:val="0"/>
        <w:autoSpaceDE w:val="0"/>
        <w:autoSpaceDN w:val="0"/>
        <w:spacing w:before="0" w:after="0" w:line="217" w:lineRule="exact"/>
        <w:ind w:left="44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4.2</w:t>
      </w:r>
    </w:p>
    <w:p>
      <w:pPr>
        <w:pStyle w:val="Normal12"/>
        <w:framePr w:w="764" w:x="12159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运行</w:t>
      </w:r>
    </w:p>
    <w:p>
      <w:pPr>
        <w:pStyle w:val="Normal12"/>
        <w:framePr w:w="764" w:x="12159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维护</w:t>
      </w:r>
    </w:p>
    <w:p>
      <w:pPr>
        <w:pStyle w:val="Normal12"/>
        <w:framePr w:w="764" w:x="16522" w:y="7383"/>
        <w:widowControl w:val="0"/>
        <w:autoSpaceDE w:val="0"/>
        <w:autoSpaceDN w:val="0"/>
        <w:spacing w:before="0" w:after="0" w:line="217" w:lineRule="exact"/>
        <w:ind w:left="43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5.3</w:t>
      </w:r>
    </w:p>
    <w:p>
      <w:pPr>
        <w:pStyle w:val="Normal12"/>
        <w:framePr w:w="764" w:x="16522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能效</w:t>
      </w:r>
    </w:p>
    <w:p>
      <w:pPr>
        <w:pStyle w:val="Normal12"/>
        <w:framePr w:w="764" w:x="16522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评估</w:t>
      </w:r>
    </w:p>
    <w:p>
      <w:pPr>
        <w:pStyle w:val="Normal12"/>
        <w:framePr w:w="764" w:x="18269" w:y="7383"/>
        <w:widowControl w:val="0"/>
        <w:autoSpaceDE w:val="0"/>
        <w:autoSpaceDN w:val="0"/>
        <w:spacing w:before="0" w:after="0" w:line="217" w:lineRule="exact"/>
        <w:ind w:left="43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6.1</w:t>
      </w:r>
    </w:p>
    <w:p>
      <w:pPr>
        <w:pStyle w:val="Normal12"/>
        <w:framePr w:w="764" w:x="18269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系统</w:t>
      </w:r>
    </w:p>
    <w:p>
      <w:pPr>
        <w:pStyle w:val="Normal12"/>
        <w:framePr w:w="764" w:x="18269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提升</w:t>
      </w:r>
    </w:p>
    <w:p>
      <w:pPr>
        <w:pStyle w:val="Normal12"/>
        <w:framePr w:w="764" w:x="19830" w:y="7383"/>
        <w:widowControl w:val="0"/>
        <w:autoSpaceDE w:val="0"/>
        <w:autoSpaceDN w:val="0"/>
        <w:spacing w:before="0" w:after="0" w:line="217" w:lineRule="exact"/>
        <w:ind w:left="43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6.2</w:t>
      </w:r>
    </w:p>
    <w:p>
      <w:pPr>
        <w:pStyle w:val="Normal12"/>
        <w:framePr w:w="764" w:x="19830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节能</w:t>
      </w:r>
    </w:p>
    <w:p>
      <w:pPr>
        <w:pStyle w:val="Normal12"/>
        <w:framePr w:w="764" w:x="19830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服务</w:t>
      </w:r>
    </w:p>
    <w:p>
      <w:pPr>
        <w:pStyle w:val="Normal12"/>
        <w:framePr w:w="764" w:x="21332" w:y="7383"/>
        <w:widowControl w:val="0"/>
        <w:autoSpaceDE w:val="0"/>
        <w:autoSpaceDN w:val="0"/>
        <w:spacing w:before="0" w:after="0" w:line="217" w:lineRule="exact"/>
        <w:ind w:left="43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6.3</w:t>
      </w:r>
    </w:p>
    <w:p>
      <w:pPr>
        <w:pStyle w:val="Normal12"/>
        <w:framePr w:w="764" w:x="21332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供需</w:t>
      </w:r>
    </w:p>
    <w:p>
      <w:pPr>
        <w:pStyle w:val="Normal12"/>
        <w:framePr w:w="764" w:x="21332" w:y="738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优化</w:t>
      </w:r>
    </w:p>
    <w:p>
      <w:pPr>
        <w:pStyle w:val="Normal12"/>
        <w:framePr w:w="864" w:x="13488" w:y="7412"/>
        <w:widowControl w:val="0"/>
        <w:autoSpaceDE w:val="0"/>
        <w:autoSpaceDN w:val="0"/>
        <w:spacing w:before="0" w:after="0" w:line="217" w:lineRule="exact"/>
        <w:ind w:left="116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5.1</w:t>
      </w:r>
    </w:p>
    <w:p>
      <w:pPr>
        <w:pStyle w:val="Normal12"/>
        <w:framePr w:w="864" w:x="13488" w:y="7412"/>
        <w:widowControl w:val="0"/>
        <w:autoSpaceDE w:val="0"/>
        <w:autoSpaceDN w:val="0"/>
        <w:spacing w:before="0" w:after="0" w:line="231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19"/>
        </w:rPr>
        <w:t>计量和</w:t>
      </w:r>
    </w:p>
    <w:p>
      <w:pPr>
        <w:pStyle w:val="Normal12"/>
        <w:framePr w:w="864" w:x="13488" w:y="7412"/>
        <w:widowControl w:val="0"/>
        <w:autoSpaceDE w:val="0"/>
        <w:autoSpaceDN w:val="0"/>
        <w:spacing w:before="0" w:after="0" w:line="231" w:lineRule="exact"/>
        <w:ind w:left="102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19"/>
        </w:rPr>
        <w:t>检测</w:t>
      </w:r>
    </w:p>
    <w:p>
      <w:pPr>
        <w:pStyle w:val="Normal12"/>
        <w:framePr w:w="849" w:x="14976" w:y="7423"/>
        <w:widowControl w:val="0"/>
        <w:autoSpaceDE w:val="0"/>
        <w:autoSpaceDN w:val="0"/>
        <w:spacing w:before="0" w:after="0" w:line="188" w:lineRule="exact"/>
        <w:ind w:left="130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19"/>
        </w:rPr>
        <w:t>5.2</w:t>
      </w:r>
    </w:p>
    <w:p>
      <w:pPr>
        <w:pStyle w:val="Normal12"/>
        <w:framePr w:w="849" w:x="14976" w:y="7423"/>
        <w:widowControl w:val="0"/>
        <w:autoSpaceDE w:val="0"/>
        <w:autoSpaceDN w:val="0"/>
        <w:spacing w:before="0" w:after="0" w:line="231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19"/>
        </w:rPr>
        <w:t>分析和</w:t>
      </w:r>
    </w:p>
    <w:p>
      <w:pPr>
        <w:pStyle w:val="Normal12"/>
        <w:framePr w:w="849" w:x="14976" w:y="7423"/>
        <w:widowControl w:val="0"/>
        <w:autoSpaceDE w:val="0"/>
        <w:autoSpaceDN w:val="0"/>
        <w:spacing w:before="0" w:after="0" w:line="231" w:lineRule="exact"/>
        <w:ind w:left="101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19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19"/>
        </w:rPr>
        <w:t>计算</w:t>
      </w:r>
    </w:p>
    <w:p>
      <w:pPr>
        <w:pStyle w:val="Normal12"/>
        <w:framePr w:w="764" w:x="5240" w:y="7513"/>
        <w:widowControl w:val="0"/>
        <w:autoSpaceDE w:val="0"/>
        <w:autoSpaceDN w:val="0"/>
        <w:spacing w:before="0" w:after="0" w:line="217" w:lineRule="exact"/>
        <w:ind w:left="44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1.2</w:t>
      </w:r>
    </w:p>
    <w:p>
      <w:pPr>
        <w:pStyle w:val="Normal12"/>
        <w:framePr w:w="764" w:x="5240" w:y="751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能效</w:t>
      </w:r>
    </w:p>
    <w:p>
      <w:pPr>
        <w:pStyle w:val="Normal12"/>
        <w:framePr w:w="764" w:x="8938" w:y="7513"/>
        <w:widowControl w:val="0"/>
        <w:autoSpaceDE w:val="0"/>
        <w:autoSpaceDN w:val="0"/>
        <w:spacing w:before="0" w:after="0" w:line="217" w:lineRule="exact"/>
        <w:ind w:left="43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3.1</w:t>
      </w:r>
    </w:p>
    <w:p>
      <w:pPr>
        <w:pStyle w:val="Normal12"/>
        <w:framePr w:w="764" w:x="8938" w:y="751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施工</w:t>
      </w:r>
    </w:p>
    <w:p>
      <w:pPr>
        <w:pStyle w:val="Normal12"/>
        <w:framePr w:w="764" w:x="9848" w:y="7513"/>
        <w:widowControl w:val="0"/>
        <w:autoSpaceDE w:val="0"/>
        <w:autoSpaceDN w:val="0"/>
        <w:spacing w:before="0" w:after="0" w:line="217" w:lineRule="exact"/>
        <w:ind w:left="43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5"/>
          <w:sz w:val="22"/>
        </w:rPr>
        <w:t>3.2</w:t>
      </w:r>
    </w:p>
    <w:p>
      <w:pPr>
        <w:pStyle w:val="Normal12"/>
        <w:framePr w:w="764" w:x="9848" w:y="7513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验收</w:t>
      </w:r>
    </w:p>
    <w:p>
      <w:pPr>
        <w:pStyle w:val="Normal12"/>
        <w:framePr w:w="2840" w:x="1513" w:y="8973"/>
        <w:widowControl w:val="0"/>
        <w:autoSpaceDE w:val="0"/>
        <w:autoSpaceDN w:val="0"/>
        <w:spacing w:before="0" w:after="0" w:line="115" w:lineRule="exact"/>
        <w:ind w:left="0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1.1.1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1.1.2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1.1.3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1.1.4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1.1.5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9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1.1.6</w:t>
      </w:r>
    </w:p>
    <w:p>
      <w:pPr>
        <w:pStyle w:val="Normal12"/>
        <w:framePr w:w="2824" w:x="4229" w:y="8973"/>
        <w:widowControl w:val="0"/>
        <w:autoSpaceDE w:val="0"/>
        <w:autoSpaceDN w:val="0"/>
        <w:spacing w:before="0" w:after="0" w:line="115" w:lineRule="exact"/>
        <w:ind w:left="0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1.2.1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1.2.2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1.2.3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1.2.4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1.2.5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1.2.6</w:t>
      </w:r>
    </w:p>
    <w:p>
      <w:pPr>
        <w:pStyle w:val="Normal12"/>
        <w:framePr w:w="2824" w:x="4229" w:y="8973"/>
        <w:widowControl w:val="0"/>
        <w:autoSpaceDE w:val="0"/>
        <w:autoSpaceDN w:val="0"/>
        <w:spacing w:before="0" w:after="0" w:line="260" w:lineRule="exact"/>
        <w:ind w:left="43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电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交</w:t>
      </w:r>
    </w:p>
    <w:p>
      <w:pPr>
        <w:pStyle w:val="Normal12"/>
        <w:framePr w:w="2824" w:x="4229" w:y="8973"/>
        <w:widowControl w:val="0"/>
        <w:autoSpaceDE w:val="0"/>
        <w:autoSpaceDN w:val="0"/>
        <w:spacing w:before="0" w:after="0" w:line="260" w:lineRule="exact"/>
        <w:ind w:left="43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通</w:t>
      </w:r>
    </w:p>
    <w:p>
      <w:pPr>
        <w:pStyle w:val="Normal12"/>
        <w:framePr w:w="888" w:x="6945" w:y="8973"/>
        <w:widowControl w:val="0"/>
        <w:autoSpaceDE w:val="0"/>
        <w:autoSpaceDN w:val="0"/>
        <w:spacing w:before="0" w:after="0" w:line="115" w:lineRule="exact"/>
        <w:ind w:left="0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2.1.1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2.1.2</w:t>
      </w:r>
    </w:p>
    <w:p>
      <w:pPr>
        <w:pStyle w:val="Normal12"/>
        <w:framePr w:w="888" w:x="7898" w:y="8973"/>
        <w:widowControl w:val="0"/>
        <w:autoSpaceDE w:val="0"/>
        <w:autoSpaceDN w:val="0"/>
        <w:spacing w:before="0" w:after="0" w:line="115" w:lineRule="exact"/>
        <w:ind w:left="0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2.2.1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2.2.2</w:t>
      </w:r>
    </w:p>
    <w:p>
      <w:pPr>
        <w:pStyle w:val="Normal12"/>
        <w:framePr w:w="873" w:x="8808" w:y="8973"/>
        <w:widowControl w:val="0"/>
        <w:autoSpaceDE w:val="0"/>
        <w:autoSpaceDN w:val="0"/>
        <w:spacing w:before="0" w:after="0" w:line="115" w:lineRule="exact"/>
        <w:ind w:left="0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3.1.1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3.1.2</w:t>
      </w:r>
    </w:p>
    <w:p>
      <w:pPr>
        <w:pStyle w:val="Normal12"/>
        <w:framePr w:w="2342" w:x="9718" w:y="8973"/>
        <w:widowControl w:val="0"/>
        <w:autoSpaceDE w:val="0"/>
        <w:autoSpaceDN w:val="0"/>
        <w:spacing w:before="0" w:after="0" w:line="115" w:lineRule="exact"/>
        <w:ind w:left="0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3.2.1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3.2.2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3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4.1.1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9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4.1.2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4.1.3</w:t>
      </w:r>
    </w:p>
    <w:p>
      <w:pPr>
        <w:pStyle w:val="Normal12"/>
        <w:framePr w:w="902" w:x="12029" w:y="8973"/>
        <w:widowControl w:val="0"/>
        <w:autoSpaceDE w:val="0"/>
        <w:autoSpaceDN w:val="0"/>
        <w:spacing w:before="0" w:after="0" w:line="115" w:lineRule="exact"/>
        <w:ind w:left="0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4.2.1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4.2.2</w:t>
      </w:r>
    </w:p>
    <w:p>
      <w:pPr>
        <w:pStyle w:val="Normal12"/>
        <w:framePr w:w="7259" w:x="12983" w:y="8973"/>
        <w:widowControl w:val="0"/>
        <w:autoSpaceDE w:val="0"/>
        <w:autoSpaceDN w:val="0"/>
        <w:spacing w:before="0" w:after="0" w:line="115" w:lineRule="exact"/>
        <w:ind w:left="0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5.1.1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5.1.2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5.1.3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5.1.4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3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5.2.1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5.2.2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5.2.3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4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5.3.1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5.3.2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4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5.3.3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5.3.4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4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6.1.1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6.1.2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6.1.3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9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6.1.4</w:t>
      </w:r>
    </w:p>
    <w:p>
      <w:pPr>
        <w:pStyle w:val="Normal12"/>
        <w:framePr w:w="1292" w:x="19497" w:y="8973"/>
        <w:widowControl w:val="0"/>
        <w:autoSpaceDE w:val="0"/>
        <w:autoSpaceDN w:val="0"/>
        <w:spacing w:before="0" w:after="0" w:line="115" w:lineRule="exact"/>
        <w:ind w:left="0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6.2.1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00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6.2.2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6.2.3</w:t>
      </w:r>
    </w:p>
    <w:p>
      <w:pPr>
        <w:pStyle w:val="Normal12"/>
        <w:framePr w:w="1728" w:x="20797" w:y="8973"/>
        <w:widowControl w:val="0"/>
        <w:autoSpaceDE w:val="0"/>
        <w:autoSpaceDN w:val="0"/>
        <w:spacing w:before="0" w:after="0" w:line="115" w:lineRule="exact"/>
        <w:ind w:left="0" w:right="0" w:firstLine="0"/>
        <w:jc w:val="left"/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</w:pP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6.3.1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6.3.2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5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6.3.3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6"/>
          <w:sz w:val="12"/>
        </w:rPr>
        <w:t xml:space="preserve"> </w:t>
      </w:r>
      <w:r>
        <w:rPr>
          <w:rStyle w:val="DefaultParagraphFont"/>
          <w:rFonts w:ascii="IBOBLM+ËÎÌå" w:eastAsiaTheme="minorHAnsi" w:hAnsiTheme="minorHAnsi" w:cstheme="minorBidi"/>
          <w:color w:val="000000"/>
          <w:spacing w:val="0"/>
          <w:sz w:val="12"/>
        </w:rPr>
        <w:t>6.3.4</w:t>
      </w:r>
    </w:p>
    <w:p>
      <w:pPr>
        <w:pStyle w:val="Normal12"/>
        <w:framePr w:w="2281" w:x="1557" w:y="9145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交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公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商</w:t>
      </w:r>
    </w:p>
    <w:p>
      <w:pPr>
        <w:pStyle w:val="Normal12"/>
        <w:framePr w:w="2281" w:x="1557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贸</w:t>
      </w:r>
    </w:p>
    <w:p>
      <w:pPr>
        <w:pStyle w:val="Normal12"/>
        <w:framePr w:w="547" w:x="3738" w:y="9145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农</w:t>
      </w:r>
    </w:p>
    <w:p>
      <w:pPr>
        <w:pStyle w:val="Normal12"/>
        <w:framePr w:w="547" w:x="3738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业</w:t>
      </w:r>
    </w:p>
    <w:p>
      <w:pPr>
        <w:pStyle w:val="Normal12"/>
        <w:framePr w:w="3904" w:x="6988" w:y="9145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9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4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工</w:t>
      </w:r>
    </w:p>
    <w:p>
      <w:pPr>
        <w:pStyle w:val="Normal12"/>
        <w:framePr w:w="3904" w:x="6988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9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4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目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程</w:t>
      </w:r>
    </w:p>
    <w:p>
      <w:pPr>
        <w:pStyle w:val="Normal12"/>
        <w:framePr w:w="3904" w:x="6988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9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4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验</w:t>
      </w:r>
    </w:p>
    <w:p>
      <w:pPr>
        <w:pStyle w:val="Normal12"/>
        <w:framePr w:w="3904" w:x="6988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划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19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工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34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收</w:t>
      </w:r>
    </w:p>
    <w:p>
      <w:pPr>
        <w:pStyle w:val="Normal12"/>
        <w:framePr w:w="3904" w:x="6988" w:y="9145"/>
        <w:widowControl w:val="0"/>
        <w:autoSpaceDE w:val="0"/>
        <w:autoSpaceDN w:val="0"/>
        <w:spacing w:before="0" w:after="0" w:line="260" w:lineRule="exact"/>
        <w:ind w:left="1372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估</w:t>
      </w:r>
    </w:p>
    <w:p>
      <w:pPr>
        <w:pStyle w:val="Normal12"/>
        <w:framePr w:w="547" w:x="10628" w:y="9145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节</w:t>
      </w:r>
    </w:p>
    <w:p>
      <w:pPr>
        <w:pStyle w:val="Normal12"/>
        <w:framePr w:w="547" w:x="10628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</w:p>
    <w:p>
      <w:pPr>
        <w:pStyle w:val="Normal12"/>
        <w:framePr w:w="547" w:x="10628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工</w:t>
      </w:r>
    </w:p>
    <w:p>
      <w:pPr>
        <w:pStyle w:val="Normal12"/>
        <w:framePr w:w="547" w:x="10628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艺</w:t>
      </w:r>
    </w:p>
    <w:p>
      <w:pPr>
        <w:pStyle w:val="Normal12"/>
        <w:framePr w:w="981" w:x="11076" w:y="9145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节</w:t>
      </w:r>
    </w:p>
    <w:p>
      <w:pPr>
        <w:pStyle w:val="Normal12"/>
        <w:framePr w:w="981" w:x="11076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</w:p>
    <w:p>
      <w:pPr>
        <w:pStyle w:val="Normal12"/>
        <w:framePr w:w="981" w:x="11076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产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技</w:t>
      </w:r>
    </w:p>
    <w:p>
      <w:pPr>
        <w:pStyle w:val="Normal12"/>
        <w:framePr w:w="981" w:x="11076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术</w:t>
      </w:r>
    </w:p>
    <w:p>
      <w:pPr>
        <w:pStyle w:val="Normal12"/>
        <w:framePr w:w="981" w:x="11076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和</w:t>
      </w:r>
    </w:p>
    <w:p>
      <w:pPr>
        <w:pStyle w:val="Normal12"/>
        <w:framePr w:w="7758" w:x="12073" w:y="9145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8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</w:p>
    <w:p>
      <w:pPr>
        <w:pStyle w:val="Normal12"/>
        <w:framePr w:w="7758" w:x="12073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8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效</w:t>
      </w:r>
    </w:p>
    <w:p>
      <w:pPr>
        <w:pStyle w:val="Normal12"/>
        <w:framePr w:w="7758" w:x="12073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8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平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监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对</w:t>
      </w:r>
    </w:p>
    <w:p>
      <w:pPr>
        <w:pStyle w:val="Normal12"/>
        <w:framePr w:w="7758" w:x="12073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8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标</w:t>
      </w:r>
    </w:p>
    <w:p>
      <w:pPr>
        <w:pStyle w:val="Normal12"/>
        <w:framePr w:w="7758" w:x="12073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8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检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与</w:t>
      </w:r>
    </w:p>
    <w:p>
      <w:pPr>
        <w:pStyle w:val="Normal12"/>
        <w:framePr w:w="7758" w:x="12073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8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测</w:t>
      </w:r>
    </w:p>
    <w:p>
      <w:pPr>
        <w:pStyle w:val="Normal12"/>
        <w:framePr w:w="7758" w:x="12073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护</w:t>
      </w:r>
    </w:p>
    <w:p>
      <w:pPr>
        <w:pStyle w:val="Normal12"/>
        <w:framePr w:w="7758" w:x="12073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运</w:t>
      </w:r>
    </w:p>
    <w:p>
      <w:pPr>
        <w:pStyle w:val="Normal12"/>
        <w:framePr w:w="7758" w:x="12073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行</w:t>
      </w:r>
    </w:p>
    <w:p>
      <w:pPr>
        <w:pStyle w:val="Normal12"/>
        <w:framePr w:w="547" w:x="19049" w:y="9145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</w:p>
    <w:p>
      <w:pPr>
        <w:pStyle w:val="Normal12"/>
        <w:framePr w:w="547" w:x="19049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</w:t>
      </w:r>
    </w:p>
    <w:p>
      <w:pPr>
        <w:pStyle w:val="Normal12"/>
        <w:framePr w:w="547" w:x="19049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管</w:t>
      </w:r>
    </w:p>
    <w:p>
      <w:pPr>
        <w:pStyle w:val="Normal12"/>
        <w:framePr w:w="547" w:x="19049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控</w:t>
      </w:r>
    </w:p>
    <w:p>
      <w:pPr>
        <w:pStyle w:val="Normal12"/>
        <w:framePr w:w="3140" w:x="19540" w:y="9145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节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5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智</w:t>
      </w:r>
    </w:p>
    <w:p>
      <w:pPr>
        <w:pStyle w:val="Normal12"/>
        <w:framePr w:w="3140" w:x="19540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5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布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慧</w:t>
      </w:r>
    </w:p>
    <w:p>
      <w:pPr>
        <w:pStyle w:val="Normal12"/>
        <w:framePr w:w="3140" w:x="19540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自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5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利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式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</w:p>
    <w:p>
      <w:pPr>
        <w:pStyle w:val="Normal12"/>
        <w:framePr w:w="3140" w:x="19540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愿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05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和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3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</w:t>
      </w:r>
    </w:p>
    <w:p>
      <w:pPr>
        <w:pStyle w:val="Normal12"/>
        <w:framePr w:w="3140" w:x="19540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性</w:t>
      </w:r>
    </w:p>
    <w:p>
      <w:pPr>
        <w:pStyle w:val="Normal12"/>
        <w:framePr w:w="3140" w:x="19540" w:y="9145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协</w:t>
      </w:r>
    </w:p>
    <w:p>
      <w:pPr>
        <w:pStyle w:val="Normal12"/>
        <w:framePr w:w="3140" w:x="19540" w:y="9145"/>
        <w:widowControl w:val="0"/>
        <w:autoSpaceDE w:val="0"/>
        <w:autoSpaceDN w:val="0"/>
        <w:spacing w:before="0" w:after="0" w:line="260" w:lineRule="exact"/>
        <w:ind w:left="419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议</w:t>
      </w:r>
    </w:p>
    <w:p>
      <w:pPr>
        <w:pStyle w:val="Normal12"/>
        <w:framePr w:w="547" w:x="2857" w:y="9666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机</w:t>
      </w:r>
    </w:p>
    <w:p>
      <w:pPr>
        <w:pStyle w:val="Normal12"/>
        <w:framePr w:w="547" w:x="2857" w:y="966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构</w:t>
      </w:r>
    </w:p>
    <w:p>
      <w:pPr>
        <w:pStyle w:val="Normal12"/>
        <w:framePr w:w="1414" w:x="4272" w:y="9666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设</w:t>
      </w:r>
    </w:p>
    <w:p>
      <w:pPr>
        <w:pStyle w:val="Normal12"/>
        <w:framePr w:w="1414" w:x="4272" w:y="966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备</w:t>
      </w:r>
    </w:p>
    <w:p>
      <w:pPr>
        <w:pStyle w:val="Normal12"/>
        <w:framePr w:w="980" w:x="6006" w:y="9666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信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工</w:t>
      </w:r>
    </w:p>
    <w:p>
      <w:pPr>
        <w:pStyle w:val="Normal12"/>
        <w:framePr w:w="980" w:x="6006" w:y="966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具</w:t>
      </w:r>
    </w:p>
    <w:p>
      <w:pPr>
        <w:pStyle w:val="Normal12"/>
        <w:framePr w:w="547" w:x="4272" w:y="10186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器</w:t>
      </w:r>
    </w:p>
    <w:p>
      <w:pPr>
        <w:pStyle w:val="Normal12"/>
        <w:framePr w:w="547" w:x="4272" w:y="1018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具</w:t>
      </w:r>
    </w:p>
    <w:p>
      <w:pPr>
        <w:pStyle w:val="Normal12"/>
        <w:framePr w:w="2295" w:x="16421" w:y="10186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1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织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体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优</w:t>
      </w:r>
    </w:p>
    <w:p>
      <w:pPr>
        <w:pStyle w:val="Normal12"/>
        <w:framePr w:w="2295" w:x="16421" w:y="10186"/>
        <w:widowControl w:val="0"/>
        <w:autoSpaceDE w:val="0"/>
        <w:autoSpaceDN w:val="0"/>
        <w:spacing w:before="0" w:after="0" w:line="260" w:lineRule="exact"/>
        <w:ind w:left="433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价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6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90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47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化</w:t>
      </w:r>
    </w:p>
    <w:p>
      <w:pPr>
        <w:pStyle w:val="Normal12"/>
        <w:framePr w:w="2295" w:x="16421" w:y="10186"/>
        <w:widowControl w:val="0"/>
        <w:autoSpaceDE w:val="0"/>
        <w:autoSpaceDN w:val="0"/>
        <w:spacing w:before="0" w:after="0" w:line="260" w:lineRule="exact"/>
        <w:ind w:left="867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价</w:t>
      </w:r>
    </w:p>
    <w:p>
      <w:pPr>
        <w:pStyle w:val="Normal12"/>
        <w:framePr w:w="951" w:x="21245" w:y="10186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可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2"/>
          <w:sz w:val="22"/>
        </w:rPr>
        <w:t xml:space="preserve"> </w:t>
      </w: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</w:t>
      </w:r>
    </w:p>
    <w:p>
      <w:pPr>
        <w:pStyle w:val="Normal12"/>
        <w:framePr w:w="951" w:x="21245" w:y="1018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再</w:t>
      </w:r>
    </w:p>
    <w:p>
      <w:pPr>
        <w:pStyle w:val="Normal12"/>
        <w:framePr w:w="951" w:x="21245" w:y="1018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生</w:t>
      </w:r>
    </w:p>
    <w:p>
      <w:pPr>
        <w:pStyle w:val="Normal12"/>
        <w:framePr w:w="951" w:x="21245" w:y="1018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能</w:t>
      </w:r>
    </w:p>
    <w:p>
      <w:pPr>
        <w:pStyle w:val="Normal12"/>
        <w:framePr w:w="951" w:x="21245" w:y="1018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源</w:t>
      </w:r>
    </w:p>
    <w:p>
      <w:pPr>
        <w:pStyle w:val="Normal12"/>
        <w:framePr w:w="547" w:x="11076" w:y="10446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设</w:t>
      </w:r>
    </w:p>
    <w:p>
      <w:pPr>
        <w:pStyle w:val="Normal12"/>
        <w:framePr w:w="547" w:x="11076" w:y="1044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备</w:t>
      </w:r>
    </w:p>
    <w:p>
      <w:pPr>
        <w:pStyle w:val="Normal12"/>
        <w:framePr w:w="547" w:x="13026" w:y="10706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配</w:t>
      </w:r>
    </w:p>
    <w:p>
      <w:pPr>
        <w:pStyle w:val="Normal12"/>
        <w:framePr w:w="547" w:x="13026" w:y="1070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备</w:t>
      </w:r>
    </w:p>
    <w:p>
      <w:pPr>
        <w:pStyle w:val="Normal12"/>
        <w:framePr w:w="547" w:x="13026" w:y="1070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和</w:t>
      </w:r>
    </w:p>
    <w:p>
      <w:pPr>
        <w:pStyle w:val="Normal12"/>
        <w:framePr w:w="547" w:x="13026" w:y="1070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管</w:t>
      </w:r>
    </w:p>
    <w:p>
      <w:pPr>
        <w:pStyle w:val="Normal12"/>
        <w:framePr w:w="547" w:x="13026" w:y="1070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理</w:t>
      </w:r>
    </w:p>
    <w:p>
      <w:pPr>
        <w:pStyle w:val="Normal12"/>
        <w:framePr w:w="547" w:x="13878" w:y="10706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试</w:t>
      </w:r>
    </w:p>
    <w:p>
      <w:pPr>
        <w:pStyle w:val="Normal12"/>
        <w:framePr w:w="547" w:x="21245" w:y="11486"/>
        <w:widowControl w:val="0"/>
        <w:autoSpaceDE w:val="0"/>
        <w:autoSpaceDN w:val="0"/>
        <w:spacing w:before="0" w:after="0" w:line="217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利</w:t>
      </w:r>
    </w:p>
    <w:p>
      <w:pPr>
        <w:pStyle w:val="Normal12"/>
        <w:framePr w:w="547" w:x="21245" w:y="11486"/>
        <w:widowControl w:val="0"/>
        <w:autoSpaceDE w:val="0"/>
        <w:autoSpaceDN w:val="0"/>
        <w:spacing w:before="0" w:after="0" w:line="260" w:lineRule="exact"/>
        <w:ind w:left="0" w:right="0" w:firstLine="0"/>
        <w:jc w:val="left"/>
        <w:rPr>
          <w:rStyle w:val="DefaultParagraphFont"/>
          <w:rFonts w:ascii="TVSHEV+ËÎÌå" w:eastAsiaTheme="minorHAnsi" w:hAnsiTheme="minorHAnsi" w:cstheme="minorBidi"/>
          <w:color w:val="000000"/>
          <w:spacing w:val="0"/>
          <w:sz w:val="22"/>
        </w:rPr>
      </w:pPr>
      <w:r>
        <w:rPr>
          <w:rStyle w:val="DefaultParagraphFont"/>
          <w:rFonts w:ascii="TVSHEV+ËÎÌå" w:hAnsi="TVSHEV+ËÎÌå" w:eastAsiaTheme="minorHAnsi" w:cs="TVSHEV+ËÎÌå"/>
          <w:color w:val="000000"/>
          <w:spacing w:val="0"/>
          <w:sz w:val="22"/>
        </w:rPr>
        <w:t>用</w:t>
      </w:r>
    </w:p>
    <w:p>
      <w:pPr>
        <w:pStyle w:val="Normal12"/>
        <w:framePr w:w="3229" w:x="10508" w:y="1239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Style w:val="DefaultParagraphFont"/>
          <w:rFonts w:ascii="MSPBNU+·ÂËÎ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MSPBNU+·ÂËÎ" w:hAnsi="MSPBNU+·ÂËÎ" w:eastAsiaTheme="minorHAnsi" w:cs="MSPBNU+·ÂËÎ"/>
          <w:color w:val="000000"/>
          <w:spacing w:val="-1"/>
          <w:sz w:val="28"/>
        </w:rPr>
        <w:t>图：节能标准体系框架</w:t>
      </w:r>
    </w:p>
    <w:p>
      <w:pPr>
        <w:pStyle w:val="Normal12"/>
        <w:framePr w:w="600" w:x="11787" w:y="15357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>13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noProof/>
        </w:rPr>
        <w:pict>
          <v:shape id="_x0000_s1027" type="#_x0000_t75" style="width:1047.15pt;height:433.3pt;margin-top:175.5pt;margin-left:72.05pt;mso-position-horizontal-relative:page;mso-position-vertical-relative:page;position:absolute;z-index:-251656192">
            <v:imagedata r:id="rId6" o:title=""/>
          </v:shape>
        </w:pict>
      </w:r>
    </w:p>
    <w:sectPr>
      <w:pgSz w:w="23800" w:h="1684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PCALIC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VKPEI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DHRR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QRCKD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SVDUB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TQPGJ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WDHQH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WOJW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BOJMB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MRKVG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FQGEC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HWKPA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ISNGP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EPISG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KAAHM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IPKKW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KGETI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WAGUE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WJGPP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KJPAU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GJCO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FDOPO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LONN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FTVUQ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FGQSWB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QJWBH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EQDIV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EMLTG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FDBO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JBCWU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JEQEJ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PHKKH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VNAVU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DFHOQ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VFPVB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RIJIF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ADCGR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VSHEV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IBOBLM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MSPBNU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