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50" w:rsidRPr="00DF4786" w:rsidRDefault="00A65850" w:rsidP="00DF4786">
      <w:pPr>
        <w:jc w:val="center"/>
        <w:rPr>
          <w:b/>
          <w:sz w:val="28"/>
          <w:szCs w:val="28"/>
        </w:rPr>
      </w:pPr>
      <w:bookmarkStart w:id="0" w:name="_GoBack"/>
      <w:r w:rsidRPr="00DF4786">
        <w:rPr>
          <w:b/>
          <w:sz w:val="28"/>
          <w:szCs w:val="28"/>
        </w:rPr>
        <w:t>澳大利亚的可再生能源法律及政策</w:t>
      </w:r>
    </w:p>
    <w:bookmarkEnd w:id="0"/>
    <w:p w:rsidR="00A32330" w:rsidRPr="00DB3DFF" w:rsidRDefault="00A65850" w:rsidP="00A32330">
      <w:pPr>
        <w:pStyle w:val="a5"/>
        <w:spacing w:before="36" w:line="280" w:lineRule="auto"/>
        <w:ind w:left="113" w:firstLine="418"/>
        <w:jc w:val="both"/>
        <w:rPr>
          <w:rFonts w:asciiTheme="minorEastAsia" w:eastAsiaTheme="minorEastAsia" w:hAnsiTheme="minorEastAsia" w:hint="eastAsia"/>
          <w:spacing w:val="-36"/>
          <w:lang w:eastAsia="zh-CN"/>
        </w:rPr>
      </w:pPr>
      <w:r w:rsidRPr="00DB3DFF">
        <w:rPr>
          <w:rFonts w:asciiTheme="minorEastAsia" w:eastAsiaTheme="minorEastAsia" w:hAnsiTheme="minorEastAsia"/>
          <w:spacing w:val="11"/>
          <w:lang w:eastAsia="zh-CN"/>
        </w:rPr>
        <w:t>澳大利亚是全球最早提出可再生能源发展目</w:t>
      </w:r>
      <w:r w:rsidRPr="00DB3DFF">
        <w:rPr>
          <w:rFonts w:asciiTheme="minorEastAsia" w:eastAsiaTheme="minorEastAsia" w:hAnsiTheme="minorEastAsia"/>
          <w:spacing w:val="-8"/>
          <w:lang w:eastAsia="zh-CN"/>
        </w:rPr>
        <w:t>标（RET）的国家，完备的法律及政策体系是其国内</w:t>
      </w:r>
      <w:r w:rsidRPr="00DB3DFF">
        <w:rPr>
          <w:rFonts w:asciiTheme="minorEastAsia" w:eastAsiaTheme="minorEastAsia" w:hAnsiTheme="minorEastAsia"/>
          <w:lang w:eastAsia="zh-CN"/>
        </w:rPr>
        <w:t>可再生能源发展的外在动力。目前，澳大利亚的可再生能源法律及政策体系主要包括三个层面，即澳大利亚联邦、州以及地方，但都归于</w:t>
      </w:r>
      <w:r w:rsidR="00DB3DFF">
        <w:rPr>
          <w:rFonts w:asciiTheme="minorEastAsia" w:eastAsiaTheme="minorEastAsia" w:hAnsiTheme="minorEastAsia" w:hint="eastAsia"/>
          <w:lang w:eastAsia="zh-CN"/>
        </w:rPr>
        <w:t>“部门间理事会（</w:t>
      </w:r>
      <w:r w:rsidRPr="00DB3DFF">
        <w:rPr>
          <w:rFonts w:asciiTheme="minorEastAsia" w:eastAsiaTheme="minorEastAsia" w:hAnsiTheme="minorEastAsia"/>
          <w:lang w:eastAsia="zh-CN"/>
        </w:rPr>
        <w:t>COGA）”协调。澳大利亚对于可再生能源开</w:t>
      </w:r>
      <w:r w:rsidRPr="00DB3DFF">
        <w:rPr>
          <w:rFonts w:asciiTheme="minorEastAsia" w:eastAsiaTheme="minorEastAsia" w:hAnsiTheme="minorEastAsia"/>
          <w:spacing w:val="5"/>
          <w:lang w:eastAsia="zh-CN"/>
        </w:rPr>
        <w:t>发利用对其国内社会经济发展的重要性认识充分，</w:t>
      </w:r>
      <w:r w:rsidRPr="00DB3DFF">
        <w:rPr>
          <w:rFonts w:asciiTheme="minorEastAsia" w:eastAsiaTheme="minorEastAsia" w:hAnsiTheme="minorEastAsia"/>
          <w:lang w:eastAsia="zh-CN"/>
        </w:rPr>
        <w:t>其国内可再生能源法律体系具有科学、完整、连续</w:t>
      </w:r>
      <w:r w:rsidR="00DB3DFF">
        <w:rPr>
          <w:rFonts w:asciiTheme="minorEastAsia" w:eastAsiaTheme="minorEastAsia" w:hAnsiTheme="minorEastAsia"/>
          <w:spacing w:val="-21"/>
          <w:lang w:eastAsia="zh-CN"/>
        </w:rPr>
        <w:t>等特点（</w:t>
      </w:r>
      <w:r w:rsidR="00DB3DFF" w:rsidRPr="00DB3DFF">
        <w:rPr>
          <w:rFonts w:asciiTheme="minorEastAsia" w:eastAsiaTheme="minorEastAsia" w:hAnsiTheme="minorEastAsia"/>
          <w:lang w:eastAsia="zh-CN"/>
        </w:rPr>
        <w:t>见下表</w:t>
      </w:r>
      <w:r w:rsidRPr="00DB3DFF">
        <w:rPr>
          <w:rFonts w:asciiTheme="minorEastAsia" w:eastAsiaTheme="minorEastAsia" w:hAnsiTheme="minorEastAsia"/>
          <w:spacing w:val="-36"/>
          <w:lang w:eastAsia="zh-CN"/>
        </w:rPr>
        <w:t>）。</w:t>
      </w:r>
    </w:p>
    <w:p w:rsidR="00A65850" w:rsidRPr="00A32330" w:rsidRDefault="00A65850" w:rsidP="00A32330">
      <w:pPr>
        <w:pStyle w:val="a5"/>
        <w:spacing w:before="36" w:line="280" w:lineRule="auto"/>
        <w:ind w:left="113" w:firstLine="418"/>
        <w:jc w:val="center"/>
        <w:rPr>
          <w:lang w:eastAsia="zh-CN"/>
        </w:rPr>
      </w:pPr>
      <w:r>
        <w:rPr>
          <w:sz w:val="18"/>
          <w:lang w:eastAsia="zh-CN"/>
        </w:rPr>
        <w:t>澳大利亚部分可再生能源法律及立法一览表</w:t>
      </w:r>
    </w:p>
    <w:tbl>
      <w:tblPr>
        <w:tblStyle w:val="TableNormal"/>
        <w:tblW w:w="90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075"/>
        <w:gridCol w:w="5268"/>
      </w:tblGrid>
      <w:tr w:rsidR="0040188D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left w:val="nil"/>
              <w:bottom w:val="single" w:sz="3" w:space="0" w:color="000000"/>
              <w:right w:val="nil"/>
            </w:tcBorders>
            <w:vAlign w:val="center"/>
          </w:tcPr>
          <w:p w:rsidR="0040188D" w:rsidRPr="004C3413" w:rsidRDefault="0040188D" w:rsidP="0040188D">
            <w:pPr>
              <w:rPr>
                <w:sz w:val="18"/>
                <w:szCs w:val="18"/>
              </w:rPr>
            </w:pPr>
            <w:proofErr w:type="spellStart"/>
            <w:r w:rsidRPr="004C3413">
              <w:rPr>
                <w:sz w:val="18"/>
                <w:szCs w:val="18"/>
              </w:rPr>
              <w:t>名称</w:t>
            </w:r>
            <w:proofErr w:type="spellEnd"/>
          </w:p>
        </w:tc>
        <w:tc>
          <w:tcPr>
            <w:tcW w:w="1075" w:type="dxa"/>
            <w:tcBorders>
              <w:left w:val="nil"/>
              <w:bottom w:val="single" w:sz="3" w:space="0" w:color="000000"/>
              <w:right w:val="nil"/>
            </w:tcBorders>
            <w:vAlign w:val="center"/>
          </w:tcPr>
          <w:p w:rsidR="0040188D" w:rsidRPr="004C3413" w:rsidRDefault="0040188D" w:rsidP="0040188D">
            <w:pPr>
              <w:rPr>
                <w:sz w:val="18"/>
                <w:szCs w:val="18"/>
              </w:rPr>
            </w:pPr>
            <w:proofErr w:type="spellStart"/>
            <w:r w:rsidRPr="004C3413">
              <w:rPr>
                <w:sz w:val="18"/>
                <w:szCs w:val="18"/>
              </w:rPr>
              <w:t>颁布时间</w:t>
            </w:r>
            <w:proofErr w:type="spellEnd"/>
          </w:p>
        </w:tc>
        <w:tc>
          <w:tcPr>
            <w:tcW w:w="5268" w:type="dxa"/>
            <w:tcBorders>
              <w:left w:val="nil"/>
              <w:bottom w:val="single" w:sz="3" w:space="0" w:color="000000"/>
              <w:right w:val="nil"/>
            </w:tcBorders>
            <w:vAlign w:val="center"/>
          </w:tcPr>
          <w:p w:rsidR="0040188D" w:rsidRPr="004C3413" w:rsidRDefault="0040188D" w:rsidP="0040188D">
            <w:pPr>
              <w:rPr>
                <w:sz w:val="18"/>
                <w:szCs w:val="18"/>
              </w:rPr>
            </w:pPr>
            <w:proofErr w:type="spellStart"/>
            <w:r w:rsidRPr="004C3413">
              <w:rPr>
                <w:sz w:val="18"/>
                <w:szCs w:val="18"/>
              </w:rPr>
              <w:t>主要内容</w:t>
            </w:r>
            <w:proofErr w:type="spellEnd"/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强制性可再生能源目标</w:t>
            </w:r>
          </w:p>
        </w:tc>
        <w:tc>
          <w:tcPr>
            <w:tcW w:w="1075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7" w:lineRule="exact"/>
              <w:ind w:left="0" w:right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2001 年</w:t>
            </w:r>
          </w:p>
        </w:tc>
        <w:tc>
          <w:tcPr>
            <w:tcW w:w="5268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规定风能、水能等可再生能源的强制性标准、发展措施</w:t>
            </w:r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确保澳大利亚的能源未来白皮书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7" w:lineRule="exact"/>
              <w:ind w:left="0" w:right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2004 年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spacing w:line="197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对 2001 年颁布实施的强制性可再生能源目标进行了细化等</w:t>
            </w:r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国家能源效力框架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8" w:lineRule="exact"/>
              <w:ind w:left="0" w:right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2006 年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对国家能源利用及</w:t>
            </w:r>
            <w:proofErr w:type="gramStart"/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消耗率作全面</w:t>
            </w:r>
            <w:proofErr w:type="gramEnd"/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规定</w:t>
            </w:r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最低能源利用率标准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8" w:lineRule="exact"/>
              <w:ind w:left="0" w:right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2006 年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对最低能耗和利用标准作详细规定</w:t>
            </w:r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能源效率机会法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8" w:lineRule="exact"/>
              <w:ind w:left="0" w:right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2006 年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对于能源的利用效率及机会成本等</w:t>
            </w:r>
            <w:proofErr w:type="gramStart"/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作出</w:t>
            </w:r>
            <w:proofErr w:type="gramEnd"/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规定</w:t>
            </w:r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32330" w:rsidP="0040188D">
            <w:pPr>
              <w:pStyle w:val="TableParagraph"/>
              <w:spacing w:line="198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9</w:t>
            </w:r>
            <w:r w:rsidR="00A65850" w:rsidRPr="0040188D">
              <w:rPr>
                <w:rFonts w:asciiTheme="minorEastAsia" w:eastAsiaTheme="minorEastAsia" w:hAnsiTheme="minorEastAsia"/>
                <w:sz w:val="18"/>
                <w:szCs w:val="18"/>
              </w:rPr>
              <w:t>年国家能源安全评估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8" w:lineRule="exact"/>
              <w:ind w:left="0" w:right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2009 年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spacing w:line="198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 xml:space="preserve">分别对澳大利亚未来 5 </w:t>
            </w:r>
            <w:r w:rsidRPr="0040188D">
              <w:rPr>
                <w:rFonts w:asciiTheme="minorEastAsia" w:eastAsiaTheme="minorEastAsia" w:hAnsiTheme="minorEastAsia"/>
                <w:spacing w:val="-14"/>
                <w:sz w:val="18"/>
                <w:szCs w:val="18"/>
                <w:lang w:eastAsia="zh-CN"/>
              </w:rPr>
              <w:t xml:space="preserve">年、10 年、15 </w:t>
            </w: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年的能源安全风险进行评估</w:t>
            </w:r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可再生能源（电力）法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8" w:lineRule="exact"/>
              <w:ind w:left="0" w:right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2010 年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规定可再生能源发电的电价、电力企业及相关部门的权力和义务</w:t>
            </w:r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可再生能源（电力收费）法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8" w:lineRule="exact"/>
              <w:ind w:left="0" w:right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2010 年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规定了可再生能源发电的电价和收费标准等</w:t>
            </w:r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碳污染减排计划法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8" w:lineRule="exact"/>
              <w:ind w:left="0" w:right="31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2010 年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确立国家排放限额</w:t>
            </w:r>
            <w:proofErr w:type="spellEnd"/>
          </w:p>
        </w:tc>
      </w:tr>
      <w:tr w:rsidR="00A65850" w:rsidRPr="0040188D" w:rsidTr="0040188D">
        <w:trPr>
          <w:trHeight w:hRule="exact" w:val="340"/>
          <w:jc w:val="center"/>
        </w:trPr>
        <w:tc>
          <w:tcPr>
            <w:tcW w:w="2692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可再生能源目标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:rsidR="00A65850" w:rsidRPr="0040188D" w:rsidRDefault="00A65850" w:rsidP="0040188D">
            <w:pPr>
              <w:pStyle w:val="TableParagraph"/>
              <w:spacing w:line="198" w:lineRule="exact"/>
              <w:ind w:left="0" w:right="32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</w:rPr>
              <w:t>2011 年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:rsidR="00A65850" w:rsidRPr="0040188D" w:rsidRDefault="00A65850" w:rsidP="00366EB1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0188D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制定小规模可再生能源计划和大型可再生能源目标</w:t>
            </w:r>
          </w:p>
        </w:tc>
      </w:tr>
    </w:tbl>
    <w:p w:rsidR="00A65850" w:rsidRPr="00B019BA" w:rsidRDefault="00A65850" w:rsidP="00B019BA">
      <w:pPr>
        <w:pStyle w:val="a5"/>
        <w:spacing w:before="36" w:line="280" w:lineRule="auto"/>
        <w:ind w:left="113" w:firstLine="418"/>
        <w:jc w:val="both"/>
        <w:rPr>
          <w:rFonts w:asciiTheme="minorEastAsia" w:eastAsiaTheme="minorEastAsia" w:hAnsiTheme="minorEastAsia"/>
          <w:spacing w:val="11"/>
          <w:lang w:eastAsia="zh-CN"/>
        </w:rPr>
      </w:pPr>
      <w:r w:rsidRPr="00B019BA">
        <w:rPr>
          <w:rFonts w:asciiTheme="minorEastAsia" w:eastAsiaTheme="minorEastAsia" w:hAnsiTheme="minorEastAsia"/>
          <w:spacing w:val="11"/>
          <w:lang w:eastAsia="zh-CN"/>
        </w:rPr>
        <w:t>早在2001年，澳大利亚就颁布实施了《强制性可再生能源目标》（以下简称《目标》）并于2009年对该《目标》进行重新修订。修订后的《目标》规定，到</w:t>
      </w:r>
      <w:r w:rsidR="00B019BA">
        <w:rPr>
          <w:rFonts w:asciiTheme="minorEastAsia" w:eastAsiaTheme="minorEastAsia" w:hAnsiTheme="minorEastAsia"/>
          <w:spacing w:val="11"/>
          <w:lang w:eastAsia="zh-CN"/>
        </w:rPr>
        <w:t>2020</w:t>
      </w:r>
      <w:r w:rsidRPr="00B019BA">
        <w:rPr>
          <w:rFonts w:asciiTheme="minorEastAsia" w:eastAsiaTheme="minorEastAsia" w:hAnsiTheme="minorEastAsia"/>
          <w:spacing w:val="11"/>
          <w:lang w:eastAsia="zh-CN"/>
        </w:rPr>
        <w:t>年澳大利亚可再生能源发电量要占全国发电总量的20%，为此还在2010年专门制定了《可再生能源（电力）法》和《可再生能源（电力收费）法》</w:t>
      </w:r>
      <w:r w:rsidR="00B019BA">
        <w:rPr>
          <w:rFonts w:asciiTheme="minorEastAsia" w:eastAsiaTheme="minorEastAsia" w:hAnsiTheme="minorEastAsia"/>
          <w:spacing w:val="11"/>
          <w:lang w:eastAsia="zh-CN"/>
        </w:rPr>
        <w:t>两部法案来保障新目标的实现</w:t>
      </w:r>
      <w:r w:rsidR="00B019BA">
        <w:rPr>
          <w:rFonts w:asciiTheme="minorEastAsia" w:eastAsiaTheme="minorEastAsia" w:hAnsiTheme="minorEastAsia" w:hint="eastAsia"/>
          <w:spacing w:val="11"/>
          <w:lang w:eastAsia="zh-CN"/>
        </w:rPr>
        <w:t>。</w:t>
      </w:r>
      <w:r w:rsidR="00B019BA">
        <w:rPr>
          <w:rFonts w:asciiTheme="minorEastAsia" w:eastAsiaTheme="minorEastAsia" w:hAnsiTheme="minorEastAsia"/>
          <w:spacing w:val="11"/>
          <w:lang w:eastAsia="zh-CN"/>
        </w:rPr>
        <w:t>2010</w:t>
      </w:r>
      <w:r w:rsidRPr="00B019BA">
        <w:rPr>
          <w:rFonts w:asciiTheme="minorEastAsia" w:eastAsiaTheme="minorEastAsia" w:hAnsiTheme="minorEastAsia"/>
          <w:spacing w:val="11"/>
          <w:lang w:eastAsia="zh-CN"/>
        </w:rPr>
        <w:t>年的《可再生能源（电力）法》的核心就是实行能源证书制度。以证书制度的方式来鼓励可再生能源发电，减少温室气体和有毒有害气体排放，确保其国内可再生能源产业的健康发展。除此之外，澳大利亚还颁布实施了《碳污染减排计划法》，从国家层面规定</w:t>
      </w:r>
      <w:proofErr w:type="gramStart"/>
      <w:r w:rsidRPr="00B019BA">
        <w:rPr>
          <w:rFonts w:asciiTheme="minorEastAsia" w:eastAsiaTheme="minorEastAsia" w:hAnsiTheme="minorEastAsia"/>
          <w:spacing w:val="11"/>
          <w:lang w:eastAsia="zh-CN"/>
        </w:rPr>
        <w:t>碳污染</w:t>
      </w:r>
      <w:proofErr w:type="gramEnd"/>
      <w:r w:rsidRPr="00B019BA">
        <w:rPr>
          <w:rFonts w:asciiTheme="minorEastAsia" w:eastAsiaTheme="minorEastAsia" w:hAnsiTheme="minorEastAsia"/>
          <w:spacing w:val="11"/>
          <w:lang w:eastAsia="zh-CN"/>
        </w:rPr>
        <w:t>的排放限额，建立国家</w:t>
      </w:r>
      <w:proofErr w:type="gramStart"/>
      <w:r w:rsidRPr="00B019BA">
        <w:rPr>
          <w:rFonts w:asciiTheme="minorEastAsia" w:eastAsiaTheme="minorEastAsia" w:hAnsiTheme="minorEastAsia"/>
          <w:spacing w:val="11"/>
          <w:lang w:eastAsia="zh-CN"/>
        </w:rPr>
        <w:t>碳污染</w:t>
      </w:r>
      <w:proofErr w:type="gramEnd"/>
      <w:r w:rsidRPr="00B019BA">
        <w:rPr>
          <w:rFonts w:asciiTheme="minorEastAsia" w:eastAsiaTheme="minorEastAsia" w:hAnsiTheme="minorEastAsia"/>
          <w:spacing w:val="11"/>
          <w:lang w:eastAsia="zh-CN"/>
        </w:rPr>
        <w:t>排放等级制度，并对相关行为主体的权利义务进行了规定。</w:t>
      </w:r>
    </w:p>
    <w:p w:rsidR="00BF1339" w:rsidRPr="00A65850" w:rsidRDefault="00BF1339"/>
    <w:sectPr w:rsidR="00BF1339" w:rsidRPr="00A6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71" w:rsidRDefault="00C96971" w:rsidP="00A65850">
      <w:r>
        <w:separator/>
      </w:r>
    </w:p>
  </w:endnote>
  <w:endnote w:type="continuationSeparator" w:id="0">
    <w:p w:rsidR="00C96971" w:rsidRDefault="00C96971" w:rsidP="00A6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71" w:rsidRDefault="00C96971" w:rsidP="00A65850">
      <w:r>
        <w:separator/>
      </w:r>
    </w:p>
  </w:footnote>
  <w:footnote w:type="continuationSeparator" w:id="0">
    <w:p w:rsidR="00C96971" w:rsidRDefault="00C96971" w:rsidP="00A6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09"/>
    <w:rsid w:val="000001C4"/>
    <w:rsid w:val="00007305"/>
    <w:rsid w:val="00012AA0"/>
    <w:rsid w:val="00015C7A"/>
    <w:rsid w:val="000221F8"/>
    <w:rsid w:val="00026452"/>
    <w:rsid w:val="00037676"/>
    <w:rsid w:val="000401C5"/>
    <w:rsid w:val="00042859"/>
    <w:rsid w:val="00042D4C"/>
    <w:rsid w:val="000469FD"/>
    <w:rsid w:val="00051D36"/>
    <w:rsid w:val="000815A8"/>
    <w:rsid w:val="00083742"/>
    <w:rsid w:val="000871CA"/>
    <w:rsid w:val="00096B97"/>
    <w:rsid w:val="000A78C7"/>
    <w:rsid w:val="000B6E12"/>
    <w:rsid w:val="000C2565"/>
    <w:rsid w:val="000C3433"/>
    <w:rsid w:val="000C77AE"/>
    <w:rsid w:val="000D6C57"/>
    <w:rsid w:val="000E2659"/>
    <w:rsid w:val="000E2CBA"/>
    <w:rsid w:val="000E5617"/>
    <w:rsid w:val="000F0815"/>
    <w:rsid w:val="000F0A42"/>
    <w:rsid w:val="000F57ED"/>
    <w:rsid w:val="001015F0"/>
    <w:rsid w:val="00103639"/>
    <w:rsid w:val="00110654"/>
    <w:rsid w:val="001114C3"/>
    <w:rsid w:val="00120541"/>
    <w:rsid w:val="0012560E"/>
    <w:rsid w:val="00126083"/>
    <w:rsid w:val="0012776D"/>
    <w:rsid w:val="00135D1D"/>
    <w:rsid w:val="00136BFE"/>
    <w:rsid w:val="0013769E"/>
    <w:rsid w:val="00147991"/>
    <w:rsid w:val="00150716"/>
    <w:rsid w:val="00153736"/>
    <w:rsid w:val="00160757"/>
    <w:rsid w:val="001633EF"/>
    <w:rsid w:val="00171A5C"/>
    <w:rsid w:val="00181C08"/>
    <w:rsid w:val="00184DB4"/>
    <w:rsid w:val="00197009"/>
    <w:rsid w:val="001A3EC1"/>
    <w:rsid w:val="001B0E16"/>
    <w:rsid w:val="001B3A28"/>
    <w:rsid w:val="001E1BE8"/>
    <w:rsid w:val="001E3B5D"/>
    <w:rsid w:val="001F09F7"/>
    <w:rsid w:val="001F23ED"/>
    <w:rsid w:val="001F3CDA"/>
    <w:rsid w:val="001F3D94"/>
    <w:rsid w:val="00201DB6"/>
    <w:rsid w:val="002063CD"/>
    <w:rsid w:val="00207EE4"/>
    <w:rsid w:val="002200BC"/>
    <w:rsid w:val="00220C20"/>
    <w:rsid w:val="0022455C"/>
    <w:rsid w:val="00226770"/>
    <w:rsid w:val="00230EBC"/>
    <w:rsid w:val="00232C83"/>
    <w:rsid w:val="00242582"/>
    <w:rsid w:val="002436AE"/>
    <w:rsid w:val="00243797"/>
    <w:rsid w:val="002454F8"/>
    <w:rsid w:val="002457AE"/>
    <w:rsid w:val="00245DED"/>
    <w:rsid w:val="00251699"/>
    <w:rsid w:val="00262821"/>
    <w:rsid w:val="00266CB3"/>
    <w:rsid w:val="00266EAB"/>
    <w:rsid w:val="002673CB"/>
    <w:rsid w:val="00275AD1"/>
    <w:rsid w:val="00283C58"/>
    <w:rsid w:val="00291E99"/>
    <w:rsid w:val="002A3B53"/>
    <w:rsid w:val="002A6E2A"/>
    <w:rsid w:val="002A7791"/>
    <w:rsid w:val="002B53B6"/>
    <w:rsid w:val="002C4E82"/>
    <w:rsid w:val="002C61CF"/>
    <w:rsid w:val="002D6DCE"/>
    <w:rsid w:val="002E53B2"/>
    <w:rsid w:val="002F0223"/>
    <w:rsid w:val="002F55D5"/>
    <w:rsid w:val="002F7117"/>
    <w:rsid w:val="0031014C"/>
    <w:rsid w:val="00323100"/>
    <w:rsid w:val="00324101"/>
    <w:rsid w:val="00327D19"/>
    <w:rsid w:val="00331987"/>
    <w:rsid w:val="0033687D"/>
    <w:rsid w:val="00346B6B"/>
    <w:rsid w:val="003578DD"/>
    <w:rsid w:val="0036244C"/>
    <w:rsid w:val="00366EB1"/>
    <w:rsid w:val="00367E68"/>
    <w:rsid w:val="003711D6"/>
    <w:rsid w:val="00372256"/>
    <w:rsid w:val="0037447B"/>
    <w:rsid w:val="0038490A"/>
    <w:rsid w:val="003864C5"/>
    <w:rsid w:val="00386A83"/>
    <w:rsid w:val="003877A8"/>
    <w:rsid w:val="003903AB"/>
    <w:rsid w:val="00391E87"/>
    <w:rsid w:val="003B3F0E"/>
    <w:rsid w:val="003C0816"/>
    <w:rsid w:val="003C396E"/>
    <w:rsid w:val="003C44D3"/>
    <w:rsid w:val="003C5392"/>
    <w:rsid w:val="003C60FF"/>
    <w:rsid w:val="003D5268"/>
    <w:rsid w:val="003D5D54"/>
    <w:rsid w:val="003D715A"/>
    <w:rsid w:val="003D7F55"/>
    <w:rsid w:val="003E702D"/>
    <w:rsid w:val="003F2323"/>
    <w:rsid w:val="003F3DEB"/>
    <w:rsid w:val="003F42BF"/>
    <w:rsid w:val="0040188D"/>
    <w:rsid w:val="0040757C"/>
    <w:rsid w:val="00431624"/>
    <w:rsid w:val="0043249E"/>
    <w:rsid w:val="00432BC1"/>
    <w:rsid w:val="00443E53"/>
    <w:rsid w:val="004470EA"/>
    <w:rsid w:val="00457FB0"/>
    <w:rsid w:val="00470D39"/>
    <w:rsid w:val="004817FB"/>
    <w:rsid w:val="00497CC9"/>
    <w:rsid w:val="004A1029"/>
    <w:rsid w:val="004B77A5"/>
    <w:rsid w:val="004C206F"/>
    <w:rsid w:val="004C26FB"/>
    <w:rsid w:val="004C637C"/>
    <w:rsid w:val="004D5156"/>
    <w:rsid w:val="004D7DC7"/>
    <w:rsid w:val="004E6D17"/>
    <w:rsid w:val="004F5521"/>
    <w:rsid w:val="004F660D"/>
    <w:rsid w:val="004F698E"/>
    <w:rsid w:val="00511FD0"/>
    <w:rsid w:val="005122E2"/>
    <w:rsid w:val="00512599"/>
    <w:rsid w:val="00516C51"/>
    <w:rsid w:val="005203C5"/>
    <w:rsid w:val="00520F58"/>
    <w:rsid w:val="0052651E"/>
    <w:rsid w:val="00527536"/>
    <w:rsid w:val="00533027"/>
    <w:rsid w:val="0053407B"/>
    <w:rsid w:val="0054001B"/>
    <w:rsid w:val="0054422E"/>
    <w:rsid w:val="005448A8"/>
    <w:rsid w:val="0055073C"/>
    <w:rsid w:val="00561E59"/>
    <w:rsid w:val="00572F2F"/>
    <w:rsid w:val="00573BF2"/>
    <w:rsid w:val="00577289"/>
    <w:rsid w:val="00581AB2"/>
    <w:rsid w:val="00590C8D"/>
    <w:rsid w:val="00592C63"/>
    <w:rsid w:val="00594BCD"/>
    <w:rsid w:val="005957BF"/>
    <w:rsid w:val="005A0CED"/>
    <w:rsid w:val="005A1D84"/>
    <w:rsid w:val="005A26D6"/>
    <w:rsid w:val="005B1E41"/>
    <w:rsid w:val="005B716F"/>
    <w:rsid w:val="005C3719"/>
    <w:rsid w:val="005C3B9B"/>
    <w:rsid w:val="005D24F3"/>
    <w:rsid w:val="005D3BB4"/>
    <w:rsid w:val="005D695D"/>
    <w:rsid w:val="005E409F"/>
    <w:rsid w:val="005F0F16"/>
    <w:rsid w:val="005F4315"/>
    <w:rsid w:val="00600BFF"/>
    <w:rsid w:val="006219A4"/>
    <w:rsid w:val="006229AA"/>
    <w:rsid w:val="00634BF6"/>
    <w:rsid w:val="00643653"/>
    <w:rsid w:val="00654797"/>
    <w:rsid w:val="0065704C"/>
    <w:rsid w:val="00657485"/>
    <w:rsid w:val="006641DF"/>
    <w:rsid w:val="00666D36"/>
    <w:rsid w:val="00666FFD"/>
    <w:rsid w:val="0067142C"/>
    <w:rsid w:val="00675FA9"/>
    <w:rsid w:val="00684ADF"/>
    <w:rsid w:val="00692CBF"/>
    <w:rsid w:val="006A2438"/>
    <w:rsid w:val="006A4223"/>
    <w:rsid w:val="006A52EA"/>
    <w:rsid w:val="006B03BC"/>
    <w:rsid w:val="006B2CD6"/>
    <w:rsid w:val="006B4B94"/>
    <w:rsid w:val="006C0494"/>
    <w:rsid w:val="006C1AEA"/>
    <w:rsid w:val="006C405D"/>
    <w:rsid w:val="006D0804"/>
    <w:rsid w:val="006D1B35"/>
    <w:rsid w:val="006D22F9"/>
    <w:rsid w:val="006D2663"/>
    <w:rsid w:val="006F3875"/>
    <w:rsid w:val="006F436C"/>
    <w:rsid w:val="00711A23"/>
    <w:rsid w:val="00724FDB"/>
    <w:rsid w:val="00733530"/>
    <w:rsid w:val="00736316"/>
    <w:rsid w:val="00741DD5"/>
    <w:rsid w:val="00750B68"/>
    <w:rsid w:val="007558D0"/>
    <w:rsid w:val="00774BE0"/>
    <w:rsid w:val="007771B5"/>
    <w:rsid w:val="00786B58"/>
    <w:rsid w:val="00791A45"/>
    <w:rsid w:val="007A463F"/>
    <w:rsid w:val="007D00B3"/>
    <w:rsid w:val="007E4D01"/>
    <w:rsid w:val="007F35A4"/>
    <w:rsid w:val="00803AE6"/>
    <w:rsid w:val="00804ED7"/>
    <w:rsid w:val="00805B6E"/>
    <w:rsid w:val="00811A0F"/>
    <w:rsid w:val="00817A4C"/>
    <w:rsid w:val="00826F5F"/>
    <w:rsid w:val="00847316"/>
    <w:rsid w:val="008516F8"/>
    <w:rsid w:val="00856094"/>
    <w:rsid w:val="008571F3"/>
    <w:rsid w:val="0086519D"/>
    <w:rsid w:val="00865A30"/>
    <w:rsid w:val="00870BFD"/>
    <w:rsid w:val="008732F2"/>
    <w:rsid w:val="008767B7"/>
    <w:rsid w:val="008869D4"/>
    <w:rsid w:val="00893ACF"/>
    <w:rsid w:val="008A0D2B"/>
    <w:rsid w:val="008A2CD0"/>
    <w:rsid w:val="008B48E5"/>
    <w:rsid w:val="008B5AE7"/>
    <w:rsid w:val="008B6B39"/>
    <w:rsid w:val="008C03FA"/>
    <w:rsid w:val="008C6D02"/>
    <w:rsid w:val="008D2E49"/>
    <w:rsid w:val="008D41CA"/>
    <w:rsid w:val="008E1E8E"/>
    <w:rsid w:val="009059E6"/>
    <w:rsid w:val="0091318B"/>
    <w:rsid w:val="0092150A"/>
    <w:rsid w:val="00924F44"/>
    <w:rsid w:val="0092513D"/>
    <w:rsid w:val="009319DC"/>
    <w:rsid w:val="00932C72"/>
    <w:rsid w:val="009347E3"/>
    <w:rsid w:val="00937C8E"/>
    <w:rsid w:val="009415CA"/>
    <w:rsid w:val="00955C73"/>
    <w:rsid w:val="00955F98"/>
    <w:rsid w:val="009629D5"/>
    <w:rsid w:val="009630C2"/>
    <w:rsid w:val="009775C5"/>
    <w:rsid w:val="00994253"/>
    <w:rsid w:val="009A13E1"/>
    <w:rsid w:val="009A7476"/>
    <w:rsid w:val="009B5761"/>
    <w:rsid w:val="009D40C8"/>
    <w:rsid w:val="009E0B83"/>
    <w:rsid w:val="009E2A6F"/>
    <w:rsid w:val="009E631F"/>
    <w:rsid w:val="009F3AEA"/>
    <w:rsid w:val="009F614C"/>
    <w:rsid w:val="00A003EB"/>
    <w:rsid w:val="00A031CA"/>
    <w:rsid w:val="00A05C61"/>
    <w:rsid w:val="00A10140"/>
    <w:rsid w:val="00A146D9"/>
    <w:rsid w:val="00A165CA"/>
    <w:rsid w:val="00A2232E"/>
    <w:rsid w:val="00A32330"/>
    <w:rsid w:val="00A45FBA"/>
    <w:rsid w:val="00A500E5"/>
    <w:rsid w:val="00A562E7"/>
    <w:rsid w:val="00A653FE"/>
    <w:rsid w:val="00A65850"/>
    <w:rsid w:val="00A71B27"/>
    <w:rsid w:val="00A8194B"/>
    <w:rsid w:val="00A83512"/>
    <w:rsid w:val="00A87360"/>
    <w:rsid w:val="00A91A06"/>
    <w:rsid w:val="00A954CA"/>
    <w:rsid w:val="00AA3A2E"/>
    <w:rsid w:val="00AA77EC"/>
    <w:rsid w:val="00AD2FC0"/>
    <w:rsid w:val="00AD33B5"/>
    <w:rsid w:val="00AD3E68"/>
    <w:rsid w:val="00AE02CF"/>
    <w:rsid w:val="00AF670E"/>
    <w:rsid w:val="00B019BA"/>
    <w:rsid w:val="00B10EDB"/>
    <w:rsid w:val="00B24D6E"/>
    <w:rsid w:val="00B33D54"/>
    <w:rsid w:val="00B35266"/>
    <w:rsid w:val="00B3768C"/>
    <w:rsid w:val="00B43B6B"/>
    <w:rsid w:val="00B43D64"/>
    <w:rsid w:val="00B54C4D"/>
    <w:rsid w:val="00B7134D"/>
    <w:rsid w:val="00B96606"/>
    <w:rsid w:val="00BA4843"/>
    <w:rsid w:val="00BA5F95"/>
    <w:rsid w:val="00BB54F6"/>
    <w:rsid w:val="00BC1278"/>
    <w:rsid w:val="00BD0ADA"/>
    <w:rsid w:val="00BD64C5"/>
    <w:rsid w:val="00BE384D"/>
    <w:rsid w:val="00BE5E4C"/>
    <w:rsid w:val="00BE7516"/>
    <w:rsid w:val="00BF1339"/>
    <w:rsid w:val="00BF4CE4"/>
    <w:rsid w:val="00C1671D"/>
    <w:rsid w:val="00C20DDC"/>
    <w:rsid w:val="00C2105E"/>
    <w:rsid w:val="00C30B2A"/>
    <w:rsid w:val="00C41082"/>
    <w:rsid w:val="00C448D2"/>
    <w:rsid w:val="00C47B19"/>
    <w:rsid w:val="00C50AA7"/>
    <w:rsid w:val="00C5166C"/>
    <w:rsid w:val="00C602BA"/>
    <w:rsid w:val="00C70BCA"/>
    <w:rsid w:val="00C8507B"/>
    <w:rsid w:val="00C85EC6"/>
    <w:rsid w:val="00C87E1F"/>
    <w:rsid w:val="00C95BC7"/>
    <w:rsid w:val="00C96971"/>
    <w:rsid w:val="00C97FBF"/>
    <w:rsid w:val="00CA495D"/>
    <w:rsid w:val="00CB2139"/>
    <w:rsid w:val="00CD5D3E"/>
    <w:rsid w:val="00CD5F1E"/>
    <w:rsid w:val="00D11132"/>
    <w:rsid w:val="00D111D7"/>
    <w:rsid w:val="00D22688"/>
    <w:rsid w:val="00D270F2"/>
    <w:rsid w:val="00D35B88"/>
    <w:rsid w:val="00D3774C"/>
    <w:rsid w:val="00D431C2"/>
    <w:rsid w:val="00D45353"/>
    <w:rsid w:val="00D47108"/>
    <w:rsid w:val="00D52D62"/>
    <w:rsid w:val="00D72D20"/>
    <w:rsid w:val="00D75C61"/>
    <w:rsid w:val="00D8647D"/>
    <w:rsid w:val="00D92783"/>
    <w:rsid w:val="00DB3DFF"/>
    <w:rsid w:val="00DB6F6F"/>
    <w:rsid w:val="00DC3FC5"/>
    <w:rsid w:val="00DD3E3D"/>
    <w:rsid w:val="00DD6F7A"/>
    <w:rsid w:val="00DE1279"/>
    <w:rsid w:val="00DE4DF0"/>
    <w:rsid w:val="00DE756A"/>
    <w:rsid w:val="00DF1DFE"/>
    <w:rsid w:val="00DF4786"/>
    <w:rsid w:val="00DF4AD7"/>
    <w:rsid w:val="00E04E7E"/>
    <w:rsid w:val="00E11079"/>
    <w:rsid w:val="00E12C26"/>
    <w:rsid w:val="00E2408E"/>
    <w:rsid w:val="00E3782F"/>
    <w:rsid w:val="00E42405"/>
    <w:rsid w:val="00E5247F"/>
    <w:rsid w:val="00E5467C"/>
    <w:rsid w:val="00E56ABC"/>
    <w:rsid w:val="00E77490"/>
    <w:rsid w:val="00E946A5"/>
    <w:rsid w:val="00E95ED1"/>
    <w:rsid w:val="00EA6E27"/>
    <w:rsid w:val="00EB293C"/>
    <w:rsid w:val="00ED192E"/>
    <w:rsid w:val="00ED1DB4"/>
    <w:rsid w:val="00ED5456"/>
    <w:rsid w:val="00ED6A4D"/>
    <w:rsid w:val="00EE3F07"/>
    <w:rsid w:val="00EF1977"/>
    <w:rsid w:val="00EF5330"/>
    <w:rsid w:val="00EF5EFD"/>
    <w:rsid w:val="00F00B51"/>
    <w:rsid w:val="00F0280C"/>
    <w:rsid w:val="00F04BE6"/>
    <w:rsid w:val="00F10B37"/>
    <w:rsid w:val="00F17FB9"/>
    <w:rsid w:val="00F2087C"/>
    <w:rsid w:val="00F24897"/>
    <w:rsid w:val="00F2611F"/>
    <w:rsid w:val="00F4065A"/>
    <w:rsid w:val="00F416E1"/>
    <w:rsid w:val="00F46A58"/>
    <w:rsid w:val="00F5060C"/>
    <w:rsid w:val="00F52277"/>
    <w:rsid w:val="00F527DA"/>
    <w:rsid w:val="00F57C22"/>
    <w:rsid w:val="00F606D3"/>
    <w:rsid w:val="00F60BE2"/>
    <w:rsid w:val="00F7075F"/>
    <w:rsid w:val="00F76E6E"/>
    <w:rsid w:val="00F90558"/>
    <w:rsid w:val="00F91358"/>
    <w:rsid w:val="00F96B93"/>
    <w:rsid w:val="00FA0851"/>
    <w:rsid w:val="00FA74D0"/>
    <w:rsid w:val="00FD45CD"/>
    <w:rsid w:val="00FD55FD"/>
    <w:rsid w:val="00FD57AF"/>
    <w:rsid w:val="00FE5245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85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65850"/>
    <w:pPr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uiPriority w:val="1"/>
    <w:rsid w:val="00A65850"/>
    <w:rPr>
      <w:rFonts w:ascii="宋体" w:eastAsia="宋体" w:hAnsi="宋体" w:cs="宋体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6585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5850"/>
    <w:pPr>
      <w:spacing w:line="186" w:lineRule="exact"/>
      <w:ind w:left="39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85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65850"/>
    <w:pPr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uiPriority w:val="1"/>
    <w:rsid w:val="00A65850"/>
    <w:rPr>
      <w:rFonts w:ascii="宋体" w:eastAsia="宋体" w:hAnsi="宋体" w:cs="宋体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6585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5850"/>
    <w:pPr>
      <w:spacing w:line="186" w:lineRule="exact"/>
      <w:ind w:left="39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823</Characters>
  <Application>Microsoft Office Word</Application>
  <DocSecurity>0</DocSecurity>
  <Lines>6</Lines>
  <Paragraphs>1</Paragraphs>
  <ScaleCrop>false</ScaleCrop>
  <Company>Lenovo-PC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2017-07-06T01:53:00Z</dcterms:created>
  <dcterms:modified xsi:type="dcterms:W3CDTF">2017-07-06T02:04:00Z</dcterms:modified>
</cp:coreProperties>
</file>